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55" w:rsidRDefault="00CF1470" w:rsidP="003F4950">
      <w:pPr>
        <w:spacing w:before="120" w:after="120" w:line="240" w:lineRule="auto"/>
        <w:jc w:val="both"/>
        <w:rPr>
          <w:rFonts w:ascii="Arial" w:hAnsi="Arial" w:cs="Arial"/>
          <w:sz w:val="24"/>
          <w:szCs w:val="24"/>
        </w:rPr>
      </w:pPr>
      <w:r>
        <w:rPr>
          <w:rFonts w:ascii="Arial" w:hAnsi="Arial" w:cs="Arial"/>
          <w:sz w:val="24"/>
          <w:szCs w:val="24"/>
        </w:rPr>
        <w:t xml:space="preserve">The work set out </w:t>
      </w:r>
      <w:r w:rsidRPr="00EB583D">
        <w:rPr>
          <w:rFonts w:ascii="Arial" w:hAnsi="Arial" w:cs="Arial"/>
          <w:sz w:val="24"/>
          <w:szCs w:val="24"/>
        </w:rPr>
        <w:t xml:space="preserve">below </w:t>
      </w:r>
      <w:r>
        <w:rPr>
          <w:rFonts w:ascii="Arial" w:hAnsi="Arial" w:cs="Arial"/>
          <w:sz w:val="24"/>
          <w:szCs w:val="24"/>
        </w:rPr>
        <w:t>is intended to obtain the evidence required to support an overall opinion on the council's governance, risk management, and control processes for 2019/20. Individual elements within the plan may be amended but, taken as a whole, the resulting plan is designed to address the requirement for an overall opinion as set out in the Internal Audit Strategy for 2019/20.</w:t>
      </w:r>
    </w:p>
    <w:p w:rsidR="00F92055" w:rsidRPr="00ED37DA" w:rsidRDefault="00CF1470" w:rsidP="003F4950">
      <w:pPr>
        <w:spacing w:before="120" w:after="120" w:line="240" w:lineRule="auto"/>
        <w:jc w:val="both"/>
        <w:rPr>
          <w:rFonts w:ascii="Arial" w:hAnsi="Arial" w:cs="Arial"/>
          <w:sz w:val="24"/>
          <w:szCs w:val="24"/>
        </w:rPr>
      </w:pPr>
      <w:r>
        <w:rPr>
          <w:rFonts w:ascii="Arial" w:hAnsi="Arial" w:cs="Arial"/>
          <w:sz w:val="24"/>
          <w:szCs w:val="24"/>
        </w:rPr>
        <w:t>The type of work is shown as: '1' for phase one/ consultancy work; '2' for phase two/ compliance testing; '1+2' for a full risk and control evaluation. Work to follow up the actions arising from previous audit work is not listed here.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7087"/>
        <w:gridCol w:w="851"/>
      </w:tblGrid>
      <w:tr w:rsidR="009D7897" w:rsidTr="00D72B59">
        <w:trPr>
          <w:tblHeader/>
        </w:trPr>
        <w:tc>
          <w:tcPr>
            <w:tcW w:w="2268" w:type="dxa"/>
            <w:shd w:val="clear" w:color="auto" w:fill="D9D9D9" w:themeFill="background1" w:themeFillShade="D9"/>
            <w:noWrap/>
          </w:tcPr>
          <w:p w:rsidR="00F92055" w:rsidRPr="00E822AC" w:rsidRDefault="00CF1470" w:rsidP="00F92055">
            <w:pPr>
              <w:spacing w:before="40" w:after="40" w:line="240" w:lineRule="auto"/>
              <w:rPr>
                <w:rFonts w:ascii="Arial" w:eastAsia="Times New Roman" w:hAnsi="Arial" w:cs="Arial"/>
                <w:b/>
                <w:bCs/>
                <w:color w:val="000000"/>
                <w:sz w:val="26"/>
                <w:szCs w:val="26"/>
                <w:lang w:eastAsia="en-GB"/>
              </w:rPr>
            </w:pPr>
            <w:r w:rsidRPr="00E822AC">
              <w:rPr>
                <w:rFonts w:ascii="Arial" w:eastAsia="Times New Roman" w:hAnsi="Arial" w:cs="Arial"/>
                <w:b/>
                <w:bCs/>
                <w:color w:val="000000"/>
                <w:sz w:val="26"/>
                <w:szCs w:val="26"/>
                <w:lang w:eastAsia="en-GB"/>
              </w:rPr>
              <w:t>Service area</w:t>
            </w:r>
          </w:p>
        </w:tc>
        <w:tc>
          <w:tcPr>
            <w:tcW w:w="3828" w:type="dxa"/>
            <w:shd w:val="clear" w:color="auto" w:fill="D9D9D9" w:themeFill="background1" w:themeFillShade="D9"/>
          </w:tcPr>
          <w:p w:rsidR="00F92055" w:rsidRPr="00E822AC" w:rsidRDefault="00CF1470" w:rsidP="00F92055">
            <w:pPr>
              <w:spacing w:before="40" w:after="40" w:line="240" w:lineRule="auto"/>
              <w:rPr>
                <w:rFonts w:ascii="Arial" w:eastAsia="Times New Roman" w:hAnsi="Arial" w:cs="Arial"/>
                <w:b/>
                <w:bCs/>
                <w:color w:val="000000"/>
                <w:sz w:val="26"/>
                <w:szCs w:val="26"/>
                <w:lang w:eastAsia="en-GB"/>
              </w:rPr>
            </w:pPr>
            <w:r w:rsidRPr="00E822AC">
              <w:rPr>
                <w:rFonts w:ascii="Arial" w:eastAsia="Times New Roman" w:hAnsi="Arial" w:cs="Arial"/>
                <w:b/>
                <w:bCs/>
                <w:color w:val="000000"/>
                <w:sz w:val="26"/>
                <w:szCs w:val="26"/>
                <w:lang w:eastAsia="en-GB"/>
              </w:rPr>
              <w:t>Operational area of activity</w:t>
            </w:r>
          </w:p>
        </w:tc>
        <w:tc>
          <w:tcPr>
            <w:tcW w:w="7087" w:type="dxa"/>
            <w:shd w:val="clear" w:color="auto" w:fill="D9D9D9" w:themeFill="background1" w:themeFillShade="D9"/>
            <w:noWrap/>
          </w:tcPr>
          <w:p w:rsidR="00F92055" w:rsidRPr="00E822AC" w:rsidRDefault="00CF1470" w:rsidP="00F92055">
            <w:pPr>
              <w:spacing w:before="40" w:after="40" w:line="240" w:lineRule="auto"/>
              <w:rPr>
                <w:rFonts w:ascii="Arial" w:eastAsia="Times New Roman" w:hAnsi="Arial" w:cs="Arial"/>
                <w:b/>
                <w:bCs/>
                <w:color w:val="000000"/>
                <w:sz w:val="26"/>
                <w:szCs w:val="26"/>
                <w:lang w:eastAsia="en-GB"/>
              </w:rPr>
            </w:pPr>
            <w:r w:rsidRPr="00E822AC">
              <w:rPr>
                <w:rFonts w:ascii="Arial" w:eastAsia="Times New Roman" w:hAnsi="Arial" w:cs="Arial"/>
                <w:b/>
                <w:bCs/>
                <w:color w:val="000000"/>
                <w:sz w:val="26"/>
                <w:szCs w:val="26"/>
                <w:lang w:eastAsia="en-GB"/>
              </w:rPr>
              <w:t>Audit work</w:t>
            </w:r>
          </w:p>
        </w:tc>
        <w:tc>
          <w:tcPr>
            <w:tcW w:w="851" w:type="dxa"/>
            <w:shd w:val="clear" w:color="auto" w:fill="D9D9D9" w:themeFill="background1" w:themeFillShade="D9"/>
          </w:tcPr>
          <w:p w:rsidR="00F92055" w:rsidRPr="00E822AC" w:rsidRDefault="00CF1470" w:rsidP="00F92055">
            <w:pPr>
              <w:spacing w:before="40" w:after="40" w:line="240" w:lineRule="auto"/>
              <w:rPr>
                <w:rFonts w:ascii="Arial" w:eastAsia="Times New Roman" w:hAnsi="Arial" w:cs="Arial"/>
                <w:b/>
                <w:bCs/>
                <w:color w:val="000000"/>
                <w:sz w:val="26"/>
                <w:szCs w:val="26"/>
                <w:lang w:eastAsia="en-GB"/>
              </w:rPr>
            </w:pPr>
            <w:r w:rsidRPr="00E822AC">
              <w:rPr>
                <w:rFonts w:ascii="Arial" w:eastAsia="Times New Roman" w:hAnsi="Arial" w:cs="Arial"/>
                <w:b/>
                <w:bCs/>
                <w:color w:val="000000"/>
                <w:sz w:val="26"/>
                <w:szCs w:val="26"/>
                <w:lang w:eastAsia="en-GB"/>
              </w:rPr>
              <w:t>Type</w:t>
            </w:r>
          </w:p>
        </w:tc>
      </w:tr>
      <w:tr w:rsidR="009D7897" w:rsidTr="00D72B59">
        <w:tc>
          <w:tcPr>
            <w:tcW w:w="13183" w:type="dxa"/>
            <w:gridSpan w:val="3"/>
            <w:shd w:val="clear" w:color="auto" w:fill="F2F2F2" w:themeFill="background1" w:themeFillShade="F2"/>
            <w:noWrap/>
            <w:hideMark/>
          </w:tcPr>
          <w:p w:rsidR="00F92055" w:rsidRPr="00E822AC" w:rsidRDefault="00CF1470" w:rsidP="00F92055">
            <w:pPr>
              <w:spacing w:before="40" w:after="40" w:line="240" w:lineRule="auto"/>
              <w:rPr>
                <w:rFonts w:ascii="Arial" w:eastAsia="Times New Roman" w:hAnsi="Arial" w:cs="Arial"/>
                <w:b/>
                <w:color w:val="000000"/>
                <w:sz w:val="24"/>
                <w:szCs w:val="24"/>
                <w:lang w:eastAsia="en-GB"/>
              </w:rPr>
            </w:pPr>
            <w:r w:rsidRPr="00E822AC">
              <w:rPr>
                <w:rFonts w:ascii="Arial" w:eastAsia="Times New Roman" w:hAnsi="Arial" w:cs="Arial"/>
                <w:b/>
                <w:bCs/>
                <w:color w:val="000000"/>
                <w:sz w:val="24"/>
                <w:szCs w:val="24"/>
                <w:lang w:eastAsia="en-GB"/>
              </w:rPr>
              <w:t>Control framework: governance and democratic oversight</w:t>
            </w:r>
          </w:p>
        </w:tc>
        <w:tc>
          <w:tcPr>
            <w:tcW w:w="851" w:type="dxa"/>
            <w:tcBorders>
              <w:bottom w:val="single" w:sz="4" w:space="0" w:color="auto"/>
            </w:tcBorders>
            <w:shd w:val="clear" w:color="auto" w:fill="F2F2F2" w:themeFill="background1" w:themeFillShade="F2"/>
          </w:tcPr>
          <w:p w:rsidR="00F92055" w:rsidRPr="00E822AC" w:rsidRDefault="00B953D0" w:rsidP="00F92055">
            <w:pPr>
              <w:spacing w:before="40" w:after="40" w:line="240" w:lineRule="auto"/>
              <w:rPr>
                <w:rFonts w:ascii="Arial" w:eastAsia="Times New Roman" w:hAnsi="Arial" w:cs="Arial"/>
                <w:b/>
                <w:bCs/>
                <w:color w:val="000000"/>
                <w:sz w:val="24"/>
                <w:szCs w:val="24"/>
                <w:lang w:eastAsia="en-GB"/>
              </w:rPr>
            </w:pPr>
          </w:p>
        </w:tc>
      </w:tr>
      <w:tr w:rsidR="009D7897" w:rsidTr="00D72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Financial Management (Operations)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Corporate reporting and oversight of the delivery of the council's financial strategy and budget reductions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CF147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Assessment of the manner in which the council oversees the achievement of its </w:t>
            </w:r>
            <w:r>
              <w:rPr>
                <w:rFonts w:ascii="Arial" w:eastAsia="Times New Roman" w:hAnsi="Arial" w:cs="Arial"/>
                <w:color w:val="000000"/>
                <w:lang w:eastAsia="en-GB"/>
              </w:rPr>
              <w:t>financial</w:t>
            </w:r>
            <w:r w:rsidRPr="00E822AC">
              <w:rPr>
                <w:rFonts w:ascii="Arial" w:eastAsia="Times New Roman" w:hAnsi="Arial" w:cs="Arial"/>
                <w:color w:val="000000"/>
                <w:lang w:eastAsia="en-GB"/>
              </w:rPr>
              <w:t xml:space="preserve"> savings, and the adequacy and effectiveness of the controls that will ensure that planned savings are made.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9D7897"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Pension Fund</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Obtaining and understanding the assurance provided by the Pension Fund's own internal auditors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as</w:t>
            </w:r>
            <w:r w:rsidR="00B953D0">
              <w:rPr>
                <w:rFonts w:ascii="Arial" w:eastAsia="Times New Roman" w:hAnsi="Arial" w:cs="Arial"/>
                <w:color w:val="000000"/>
                <w:lang w:eastAsia="en-GB"/>
              </w:rPr>
              <w:t>surance provided by Deloitte</w:t>
            </w:r>
            <w:r w:rsidRPr="00E822AC">
              <w:rPr>
                <w:rFonts w:ascii="Arial" w:eastAsia="Times New Roman" w:hAnsi="Arial" w:cs="Arial"/>
                <w:color w:val="000000"/>
                <w:lang w:eastAsia="en-GB"/>
              </w:rPr>
              <w:t xml:space="preserve"> over the operation of the Pension Fund by the Local Pensions Partnership</w:t>
            </w:r>
            <w:r w:rsidR="00B953D0">
              <w:rPr>
                <w:rFonts w:ascii="Arial" w:eastAsia="Times New Roman" w:hAnsi="Arial" w:cs="Arial"/>
                <w:color w:val="000000"/>
                <w:lang w:eastAsia="en-GB"/>
              </w:rPr>
              <w:t xml:space="preserve"> Ltd (LPP)</w:t>
            </w:r>
            <w:r w:rsidRPr="00E822AC">
              <w:rPr>
                <w:rFonts w:ascii="Arial" w:eastAsia="Times New Roman" w:hAnsi="Arial" w:cs="Arial"/>
                <w:color w:val="000000"/>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N/A</w:t>
            </w:r>
          </w:p>
        </w:tc>
      </w:tr>
      <w:tr w:rsidR="009D7897"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Renegotiation of the contract with BTLS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Work to understand and support the conduct of negotiations.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w:t>
            </w:r>
          </w:p>
        </w:tc>
      </w:tr>
      <w:tr w:rsidR="009D7897" w:rsidTr="00D72B59">
        <w:tc>
          <w:tcPr>
            <w:tcW w:w="13183" w:type="dxa"/>
            <w:gridSpan w:val="3"/>
            <w:tcBorders>
              <w:top w:val="nil"/>
            </w:tcBorders>
            <w:shd w:val="clear" w:color="auto" w:fill="F2F2F2" w:themeFill="background1" w:themeFillShade="F2"/>
          </w:tcPr>
          <w:p w:rsidR="00F92055" w:rsidRPr="00E822AC" w:rsidRDefault="00CF1470" w:rsidP="00F92055">
            <w:pPr>
              <w:spacing w:before="40" w:after="40" w:line="240" w:lineRule="auto"/>
              <w:rPr>
                <w:rFonts w:ascii="Arial" w:eastAsia="Times New Roman" w:hAnsi="Arial" w:cs="Arial"/>
                <w:b/>
                <w:color w:val="000000"/>
                <w:sz w:val="24"/>
                <w:szCs w:val="24"/>
                <w:lang w:eastAsia="en-GB"/>
              </w:rPr>
            </w:pPr>
            <w:r w:rsidRPr="00E822AC">
              <w:rPr>
                <w:rFonts w:ascii="Arial" w:eastAsia="Times New Roman" w:hAnsi="Arial" w:cs="Arial"/>
                <w:b/>
                <w:color w:val="000000"/>
                <w:sz w:val="24"/>
                <w:szCs w:val="24"/>
                <w:lang w:eastAsia="en-GB"/>
              </w:rPr>
              <w:t>Control framework: business effectiveness</w:t>
            </w:r>
          </w:p>
        </w:tc>
        <w:tc>
          <w:tcPr>
            <w:tcW w:w="851" w:type="dxa"/>
            <w:tcBorders>
              <w:top w:val="nil"/>
              <w:bottom w:val="single" w:sz="4" w:space="0" w:color="auto"/>
            </w:tcBorders>
            <w:shd w:val="clear" w:color="auto" w:fill="F2F2F2" w:themeFill="background1" w:themeFillShade="F2"/>
          </w:tcPr>
          <w:p w:rsidR="00F92055" w:rsidRPr="00E822AC" w:rsidRDefault="00B953D0" w:rsidP="00F92055">
            <w:pPr>
              <w:spacing w:before="40" w:after="40" w:line="240" w:lineRule="auto"/>
              <w:rPr>
                <w:rFonts w:ascii="Arial" w:eastAsia="Times New Roman" w:hAnsi="Arial" w:cs="Arial"/>
                <w:b/>
                <w:color w:val="000000"/>
                <w:sz w:val="24"/>
                <w:szCs w:val="24"/>
                <w:lang w:eastAsia="en-GB"/>
              </w:rPr>
            </w:pPr>
          </w:p>
        </w:tc>
      </w:tr>
      <w:tr w:rsidR="009D7897"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Legal, Governance and Registrars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Risk management</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Effectiveness of risk management arrangements in services and at a corporate level. Includes follow up of any actions from 2018/19 audit.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9D7897"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Business Intelligence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Corporate performance management</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D72B59">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Audit of the implementation of revised performance management arrangements and KPIs developed following the introduction of new corporate strategy.</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57121" w:rsidRPr="00E822AC" w:rsidRDefault="00CF1470" w:rsidP="00857121">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Pension Fund</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sidRPr="00B953D0">
              <w:rPr>
                <w:rFonts w:ascii="Arial" w:eastAsia="Times New Roman" w:hAnsi="Arial" w:cs="Arial"/>
                <w:color w:val="000000"/>
                <w:lang w:eastAsia="en-GB"/>
              </w:rPr>
              <w:t>LPP's compliance with its contractual obligations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sidRPr="00B953D0">
              <w:rPr>
                <w:rFonts w:ascii="Arial" w:eastAsia="Times New Roman" w:hAnsi="Arial" w:cs="Arial"/>
                <w:color w:val="000000"/>
                <w:lang w:eastAsia="en-GB"/>
              </w:rPr>
              <w:t xml:space="preserve">Review of the accuracy of the performance data reported by LPP to demonstrate its achievement of </w:t>
            </w:r>
            <w:r>
              <w:rPr>
                <w:rFonts w:ascii="Arial" w:eastAsia="Times New Roman" w:hAnsi="Arial" w:cs="Arial"/>
                <w:color w:val="000000"/>
                <w:lang w:eastAsia="en-GB"/>
              </w:rPr>
              <w:t xml:space="preserve">its </w:t>
            </w:r>
            <w:r w:rsidRPr="00B953D0">
              <w:rPr>
                <w:rFonts w:ascii="Arial" w:eastAsia="Times New Roman" w:hAnsi="Arial" w:cs="Arial"/>
                <w:color w:val="000000"/>
                <w:lang w:eastAsia="en-GB"/>
              </w:rPr>
              <w:t>contractual performance targets.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13183" w:type="dxa"/>
            <w:gridSpan w:val="3"/>
            <w:shd w:val="clear" w:color="auto" w:fill="F2F2F2" w:themeFill="background1" w:themeFillShade="F2"/>
          </w:tcPr>
          <w:p w:rsidR="00B953D0" w:rsidRPr="00E822AC" w:rsidRDefault="00B953D0" w:rsidP="00B953D0">
            <w:pPr>
              <w:spacing w:before="40" w:after="40" w:line="240" w:lineRule="auto"/>
              <w:rPr>
                <w:rFonts w:ascii="Arial" w:eastAsia="Times New Roman" w:hAnsi="Arial" w:cs="Arial"/>
                <w:b/>
                <w:color w:val="000000"/>
                <w:sz w:val="24"/>
                <w:szCs w:val="24"/>
                <w:lang w:eastAsia="en-GB"/>
              </w:rPr>
            </w:pPr>
            <w:r w:rsidRPr="00E822AC">
              <w:rPr>
                <w:rFonts w:ascii="Arial" w:eastAsia="Times New Roman" w:hAnsi="Arial" w:cs="Arial"/>
                <w:b/>
                <w:color w:val="000000"/>
                <w:sz w:val="24"/>
                <w:szCs w:val="24"/>
                <w:lang w:eastAsia="en-GB"/>
              </w:rPr>
              <w:t>Control framework: service delivery</w:t>
            </w:r>
          </w:p>
        </w:tc>
        <w:tc>
          <w:tcPr>
            <w:tcW w:w="851" w:type="dxa"/>
            <w:shd w:val="clear" w:color="auto" w:fill="F2F2F2" w:themeFill="background1" w:themeFillShade="F2"/>
          </w:tcPr>
          <w:p w:rsidR="00B953D0" w:rsidRPr="00E822AC" w:rsidRDefault="00B953D0" w:rsidP="00B953D0">
            <w:pPr>
              <w:spacing w:before="40" w:after="40" w:line="240" w:lineRule="auto"/>
              <w:rPr>
                <w:rFonts w:ascii="Arial" w:eastAsia="Times New Roman" w:hAnsi="Arial" w:cs="Arial"/>
                <w:b/>
                <w:color w:val="000000"/>
                <w:sz w:val="24"/>
                <w:szCs w:val="24"/>
                <w:lang w:eastAsia="en-GB"/>
              </w:rPr>
            </w:pPr>
          </w:p>
        </w:tc>
      </w:tr>
      <w:tr w:rsidR="00B953D0" w:rsidTr="00D72B59">
        <w:tc>
          <w:tcPr>
            <w:tcW w:w="13183" w:type="dxa"/>
            <w:gridSpan w:val="3"/>
            <w:shd w:val="clear" w:color="auto" w:fill="auto"/>
          </w:tcPr>
          <w:p w:rsidR="00B953D0" w:rsidRPr="00E822AC" w:rsidRDefault="00B953D0" w:rsidP="00B953D0">
            <w:pPr>
              <w:spacing w:before="40" w:after="40" w:line="240" w:lineRule="auto"/>
              <w:rPr>
                <w:rFonts w:ascii="Arial" w:hAnsi="Arial" w:cs="Arial"/>
                <w:b/>
              </w:rPr>
            </w:pPr>
            <w:r w:rsidRPr="00E822AC">
              <w:rPr>
                <w:rFonts w:ascii="Arial" w:hAnsi="Arial" w:cs="Arial"/>
                <w:b/>
              </w:rPr>
              <w:t>Adult Services and Health &amp; Wellbeing</w:t>
            </w:r>
          </w:p>
        </w:tc>
        <w:tc>
          <w:tcPr>
            <w:tcW w:w="851" w:type="dxa"/>
            <w:shd w:val="clear" w:color="auto" w:fill="auto"/>
          </w:tcPr>
          <w:p w:rsidR="00B953D0" w:rsidRPr="00E822AC" w:rsidRDefault="00B953D0" w:rsidP="00B953D0">
            <w:pPr>
              <w:spacing w:before="40" w:after="40" w:line="240" w:lineRule="auto"/>
              <w:rPr>
                <w:rFonts w:ascii="Arial" w:eastAsia="Times New Roman" w:hAnsi="Arial" w:cs="Arial"/>
                <w:b/>
                <w:color w:val="000000"/>
                <w:lang w:eastAsia="en-GB"/>
              </w:rPr>
            </w:pP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Learning Disability, Autism &amp; Mental Health</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Transitioning young people from children's services to adults' services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controls that have been put in place to ensure that young people are properly transferred between children's and adults' services.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Learning Disability, Autism &amp; Mental Health</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Mental health case management</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Review of the end-to-end case management arrangements following the transfer of mental health services back into the council from the NHS.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Learning Disability, Autism &amp; Mental Health</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Mental health case audit work</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robustness of the case audit mechanism as a means of identifying elements of good practice to be shared and identifying areas for improvement.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Social Care (Health); Social Care (Community)</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Passport to Independence: governance</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governance and risk management arrangements in relation to service challenge items and business as usual following the Passport to Independence programme.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Older People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Audit and assurance arrangements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 review of the in-service audit arrangements, focussing on supervision arrangements, medication compliance and support planning in residential settings.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Patient Safety &amp; Safeguarding</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Operation of the residential quality assurance framework</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Consideration of the adequacy and effectiveness of the improvement programme being developed to drive improvements in service delivery across the regulated care sector.</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Patient Safety &amp; Safeguarding</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Operation of the non-residential quality assurance framework</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Consideration of the adequacy and effectiveness of the improvement programme being developed to drive improvements in service delivery across the regulated care sector.</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Social Care (Health); Social Care (Community)</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Provider-led reviews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lang w:eastAsia="en-GB"/>
              </w:rPr>
            </w:pPr>
            <w:r w:rsidRPr="00E822AC">
              <w:rPr>
                <w:rFonts w:ascii="Arial" w:eastAsia="Times New Roman" w:hAnsi="Arial" w:cs="Arial"/>
                <w:lang w:eastAsia="en-GB"/>
              </w:rPr>
              <w:t>Assessment of the scheme operating in the Carers Service, focussing on whether the council is obtaining appropriate assurance that quality standards are being maintained, and the reviewers' competence and training.</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Older People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Financial practice</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An assessment of the adequacy and effectiveness of the arrangements for recording and accounting for contributions due from self-funders, with a focus on accuracy and efficiency.</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Exchequer Services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Direct payments: adults' financial reviews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scope, frequency and timeliness of reviews of service users' expenditure of direct payments, including both desk-top reviews and visits to service users.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Older People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Management of service users' funds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 review of the controls in place to ensure that service user funds are appropriately safeguarded and accounted for, including contributions to and the use of the residents' amenity fund.</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Disability Services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Safeguarding service user finances in the Supported Living Service.</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An assessment of the adequacy and effectiveness of the arrangements in place to ensure that the finances of service users who lack capacity are safeguarded.</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Disability Services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Shared Lives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An assessment of the adequacy and effectiveness of the recruitment process, with a focus on transparency, compliance with policy and guidance, and the benefits of the panel approval process.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Disability Services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Sickness absence arrangements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 review to assess compliance with the sickness absence policy for both short term and long term absence by operational managers, including the case review process and referrals to occupational health.</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Learning Disability, Autism &amp; Mental Health</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Supervision</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Confirmation that staff are subject to regular support and supervisory review to ensure compliance with professional body requirements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Legal, Governance and Registrars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Adult social care complaints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Consideration whether the service is appropriately identifying the lessons learned from complaints and amending its practices and procedures to improve service provision.</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 sample of all</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Business continuity arrangements </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An assessment of the adequacy and effectiveness of the business continuity arrangements across the range of adult social care services, considering in particular the robustness of the plans, test arrangements and the implementation of lessons learned.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Patient Safety &amp; Safeguarding</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Safeguarding vulnerable adults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Audit of the arrangements to address safeguarding concerns including reporting to the Lancashire Safeguarding Adults Board, with a focus on compliance with the Making Safeguarding Personal ethos.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Health Equity &amp; Partnerships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Contract monitoring: 0-19 years health care professionals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adequacy of the contract monitoring arrangements to ensure that the service is provided to appropriate standards and ensures service user outcomes are achieved.</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Health Equity &amp; Partnerships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VIP enquiries </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Consideration of the adequacy and effectiveness of the case management arrangements to manage the demand for and response to VIP enquiries.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Health Equity &amp; Partnerships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External sources of assurance over the council's activity and objectives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Work with Mersey Internal Audit Agency to understand their work in the region that may provide assurance over the council's objectives as well as those of MIAA's NHS clients.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Trading Standards &amp; Scientific Services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Safe Trader Scheme</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An assessment of the management and monitoring arrangements in place over the operation of the Safe Trader Scheme.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Health, Safety &amp; Resilience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Educational off-site visits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adequacy and effectiveness of the risk assessment process and the compliance checks conducted by the Health, Safety and Resilience team.</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B953D0">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Health, Safety &amp; Resilience</w:t>
            </w:r>
            <w:bookmarkStart w:id="0" w:name="_GoBack"/>
            <w:bookmarkEnd w:id="0"/>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Contract monitoring: Occupational Health Service</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Consideration of the adequacy and effectiveness of the council's oversight of the outsourced occupational health services.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B953D0">
        <w:tc>
          <w:tcPr>
            <w:tcW w:w="13183" w:type="dxa"/>
            <w:gridSpan w:val="3"/>
            <w:tcBorders>
              <w:top w:val="single" w:sz="4" w:space="0" w:color="auto"/>
              <w:left w:val="nil"/>
              <w:bottom w:val="nil"/>
              <w:right w:val="nil"/>
            </w:tcBorders>
            <w:shd w:val="clear" w:color="auto" w:fill="auto"/>
          </w:tcPr>
          <w:p w:rsidR="00B953D0" w:rsidRDefault="00B953D0" w:rsidP="00B953D0">
            <w:pPr>
              <w:spacing w:before="40" w:after="40" w:line="240" w:lineRule="auto"/>
              <w:rPr>
                <w:rFonts w:ascii="Arial" w:hAnsi="Arial" w:cs="Arial"/>
                <w:b/>
              </w:rPr>
            </w:pPr>
          </w:p>
          <w:p w:rsidR="00B953D0" w:rsidRPr="00E822AC" w:rsidRDefault="00B953D0" w:rsidP="00B953D0">
            <w:pPr>
              <w:spacing w:before="40" w:after="40" w:line="240" w:lineRule="auto"/>
              <w:rPr>
                <w:rFonts w:ascii="Arial" w:hAnsi="Arial" w:cs="Arial"/>
                <w:b/>
              </w:rPr>
            </w:pPr>
          </w:p>
        </w:tc>
        <w:tc>
          <w:tcPr>
            <w:tcW w:w="851" w:type="dxa"/>
            <w:tcBorders>
              <w:top w:val="single" w:sz="4" w:space="0" w:color="auto"/>
              <w:left w:val="nil"/>
              <w:bottom w:val="nil"/>
              <w:right w:val="nil"/>
            </w:tcBorders>
            <w:shd w:val="clear" w:color="auto" w:fill="auto"/>
          </w:tcPr>
          <w:p w:rsidR="00B953D0" w:rsidRPr="00E822AC" w:rsidRDefault="00B953D0" w:rsidP="00B953D0">
            <w:pPr>
              <w:spacing w:before="40" w:after="40" w:line="240" w:lineRule="auto"/>
              <w:rPr>
                <w:rFonts w:ascii="Arial" w:eastAsia="Times New Roman" w:hAnsi="Arial" w:cs="Arial"/>
                <w:b/>
                <w:color w:val="000000"/>
                <w:lang w:eastAsia="en-GB"/>
              </w:rPr>
            </w:pPr>
          </w:p>
        </w:tc>
      </w:tr>
      <w:tr w:rsidR="00B953D0" w:rsidTr="00B953D0">
        <w:tc>
          <w:tcPr>
            <w:tcW w:w="13183" w:type="dxa"/>
            <w:gridSpan w:val="3"/>
            <w:tcBorders>
              <w:top w:val="nil"/>
            </w:tcBorders>
            <w:shd w:val="clear" w:color="auto" w:fill="auto"/>
          </w:tcPr>
          <w:p w:rsidR="00B953D0" w:rsidRPr="00E822AC" w:rsidRDefault="00B953D0" w:rsidP="00B953D0">
            <w:pPr>
              <w:spacing w:before="40" w:after="40" w:line="240" w:lineRule="auto"/>
              <w:rPr>
                <w:rFonts w:ascii="Arial" w:hAnsi="Arial" w:cs="Arial"/>
              </w:rPr>
            </w:pPr>
            <w:r w:rsidRPr="00E822AC">
              <w:rPr>
                <w:rFonts w:ascii="Arial" w:hAnsi="Arial" w:cs="Arial"/>
                <w:b/>
              </w:rPr>
              <w:t>Education &amp; Children's Services</w:t>
            </w:r>
          </w:p>
        </w:tc>
        <w:tc>
          <w:tcPr>
            <w:tcW w:w="851" w:type="dxa"/>
            <w:tcBorders>
              <w:top w:val="nil"/>
            </w:tcBorders>
            <w:shd w:val="clear" w:color="auto" w:fill="auto"/>
          </w:tcPr>
          <w:p w:rsidR="00B953D0" w:rsidRPr="00E822AC" w:rsidRDefault="00B953D0" w:rsidP="00B953D0">
            <w:pPr>
              <w:spacing w:before="40" w:after="40" w:line="240" w:lineRule="auto"/>
              <w:rPr>
                <w:rFonts w:ascii="Arial" w:eastAsia="Times New Roman" w:hAnsi="Arial" w:cs="Arial"/>
                <w:b/>
                <w:color w:val="000000"/>
                <w:lang w:eastAsia="en-GB"/>
              </w:rPr>
            </w:pP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Children's Social Care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Children's Services improvement plan delivery</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delivery against the improvement plan, including implementation of action, benefits realisation, service-level monitoring and reporting to the directorate management team.</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Children's Social Care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The sufficiency strategy for children looked after</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adequacy of controls to ensure that the strategy is implemented effectively.</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Children's Social Care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Prevention of child sexual exploitation.</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compliance with the new process, including follow up of the actions agreed in 2018/19.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Children's Social Care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Payments to external care providers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effectiveness of controls for managing payments to external care providers, including their accuracy and validity.</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Children's Social Care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Caseload management</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Audit of the controls to manage the allocation of casework to social workers.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Children's Social Care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Supervision and support</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Audit of the adequacy and effectiveness of supervisions, including fr</w:t>
            </w:r>
            <w:r>
              <w:rPr>
                <w:rFonts w:ascii="Arial" w:eastAsia="Times New Roman" w:hAnsi="Arial" w:cs="Arial"/>
                <w:color w:val="000000"/>
                <w:lang w:eastAsia="en-GB"/>
              </w:rPr>
              <w:t>equency, timeliness and impact.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Children's Social Care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Independent reviewing officers (IROs)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Audit of the adequacy and effectiveness of the IROs' role in providing oversight and assurance o</w:t>
            </w:r>
            <w:r>
              <w:rPr>
                <w:rFonts w:ascii="Arial" w:eastAsia="Times New Roman" w:hAnsi="Arial" w:cs="Arial"/>
                <w:color w:val="000000"/>
                <w:lang w:eastAsia="en-GB"/>
              </w:rPr>
              <w:t>ver practice quality assurance.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lang w:eastAsia="en-GB"/>
              </w:rPr>
            </w:pPr>
            <w:r w:rsidRPr="00E822AC">
              <w:rPr>
                <w:rFonts w:ascii="Arial" w:eastAsia="Times New Roman" w:hAnsi="Arial" w:cs="Arial"/>
                <w:lang w:eastAsia="en-GB"/>
              </w:rPr>
              <w:t>Corporate Parenting</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Corporate parenting strategy</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Audit of the adequacy of controls to ensure that the corporate parenting strategy is implemented and effectively operated.</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Inclusion</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Inclusion Service improvement plan</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Assurance over the development and implementation of the improvement plan including governance structures, </w:t>
            </w:r>
            <w:r>
              <w:rPr>
                <w:rFonts w:ascii="Arial" w:eastAsia="Times New Roman" w:hAnsi="Arial" w:cs="Arial"/>
                <w:color w:val="000000"/>
                <w:lang w:eastAsia="en-GB"/>
              </w:rPr>
              <w:t>decision making and monitoring.</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Inclusion</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Direct payments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Follow up of the 2017/18 audit supported by further testing based on the risk and control framework already agreed.</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2</w:t>
            </w:r>
          </w:p>
        </w:tc>
      </w:tr>
      <w:tr w:rsidR="00B953D0" w:rsidTr="00D72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Fostering, Adoption, Residential &amp; YOT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Special guardianship order financial support</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controls to assess entitlement to special guardianship financial support including means testing and calculation of payment, conditions, enhancement payments, ongoin</w:t>
            </w:r>
            <w:r>
              <w:rPr>
                <w:rFonts w:ascii="Arial" w:eastAsia="Times New Roman" w:hAnsi="Arial" w:cs="Arial"/>
                <w:color w:val="000000"/>
                <w:lang w:eastAsia="en-GB"/>
              </w:rPr>
              <w:t>g entitlement and reassessment.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2</w:t>
            </w:r>
          </w:p>
        </w:tc>
      </w:tr>
      <w:tr w:rsidR="00B953D0" w:rsidTr="00D72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Safeguarding, Inspection &amp; Audit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Children's Services' in-service audit framework</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Assessment of the adequacy and effectiveness of controls over the operation of the audit framework including testing of audit activity on casework and supervisions. (Phase 1 was completed in 2018/19).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Safeguarding, Inspection &amp; Audit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Transition to new local safeguarding arrangements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Assessment of the establishment of governance structures and review partnerships, and the transition to national and local reviews.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w:t>
            </w:r>
          </w:p>
        </w:tc>
      </w:tr>
      <w:tr w:rsidR="00B953D0" w:rsidTr="00257CDC">
        <w:trPr>
          <w:trHeight w:val="592"/>
        </w:trPr>
        <w:tc>
          <w:tcPr>
            <w:tcW w:w="2268"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Safeguarding, Inspection &amp; Audit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953D0" w:rsidRPr="00257CDC" w:rsidRDefault="00B953D0" w:rsidP="00B953D0">
            <w:pPr>
              <w:spacing w:after="0" w:line="240" w:lineRule="auto"/>
              <w:rPr>
                <w:rFonts w:ascii="Arial" w:eastAsia="Times New Roman" w:hAnsi="Arial" w:cs="Arial"/>
                <w:color w:val="000000"/>
                <w:lang w:eastAsia="en-GB"/>
              </w:rPr>
            </w:pPr>
            <w:r w:rsidRPr="00257CDC">
              <w:rPr>
                <w:rFonts w:ascii="Arial" w:eastAsia="Times New Roman" w:hAnsi="Arial" w:cs="Arial"/>
                <w:color w:val="000000"/>
                <w:lang w:eastAsia="en-GB"/>
              </w:rPr>
              <w:t>Lancashire Safeguarding Children's Board (LSCB) purchasing</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953D0" w:rsidRPr="00257CDC" w:rsidRDefault="00B953D0" w:rsidP="00B953D0">
            <w:pPr>
              <w:spacing w:after="0" w:line="240" w:lineRule="auto"/>
              <w:rPr>
                <w:rFonts w:ascii="Arial" w:eastAsia="Times New Roman" w:hAnsi="Arial" w:cs="Arial"/>
                <w:color w:val="000000"/>
                <w:lang w:eastAsia="en-GB"/>
              </w:rPr>
            </w:pPr>
            <w:r w:rsidRPr="00257CDC">
              <w:rPr>
                <w:rFonts w:ascii="Arial" w:eastAsia="Times New Roman" w:hAnsi="Arial" w:cs="Arial"/>
                <w:color w:val="000000"/>
                <w:lang w:eastAsia="en-GB"/>
              </w:rPr>
              <w:t>Audit of the adequacy and effectiveness of controls to ensure that purchasing by the LCSB is valid, legitimate and provides value for money</w:t>
            </w:r>
            <w:r>
              <w:rPr>
                <w:rFonts w:ascii="Arial" w:eastAsia="Times New Roman" w:hAnsi="Arial" w:cs="Arial"/>
                <w:color w:val="000000"/>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Safeguarding, Inspection &amp; Audit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Serious incident reporting and case review</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lang w:eastAsia="en-GB"/>
              </w:rPr>
            </w:pPr>
            <w:r w:rsidRPr="00E822AC">
              <w:rPr>
                <w:rFonts w:ascii="Arial" w:eastAsia="Times New Roman" w:hAnsi="Arial" w:cs="Arial"/>
                <w:lang w:eastAsia="en-GB"/>
              </w:rPr>
              <w:t>Assessment of controls following the transition of serious case reporting from the local safeguarding board to new partnership boards.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Education, Quality and Performance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Children missing from home or school. </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lang w:eastAsia="en-GB"/>
              </w:rPr>
            </w:pPr>
            <w:r w:rsidRPr="00E822AC">
              <w:rPr>
                <w:rFonts w:ascii="Arial" w:eastAsia="Times New Roman" w:hAnsi="Arial" w:cs="Arial"/>
                <w:lang w:eastAsia="en-GB"/>
              </w:rPr>
              <w:t>Audit of the adequacy and effectiveness of controls to identify and track children missing from home or school, building on the work done in 2018/19 on school exclusions.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Libraries, Museums &amp; Culture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Re-imagining the Harris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Work to understand the overall programme and the implementation of its component parts with Preston City Council.</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Libraries, Museums &amp; Culture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Safekeeping of heritage assets held in museums and libraries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Assessment of the controls in place to ensure that heritage assets held in museums and libraries are exhibited, stored and moved safely and securely.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w:t>
            </w:r>
          </w:p>
        </w:tc>
      </w:tr>
      <w:tr w:rsidR="00B953D0" w:rsidTr="00D72B59">
        <w:trPr>
          <w:trHeight w:val="60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257CDC" w:rsidRDefault="00B953D0" w:rsidP="00B953D0">
            <w:pPr>
              <w:spacing w:after="0" w:line="240" w:lineRule="auto"/>
              <w:rPr>
                <w:rFonts w:ascii="Arial" w:eastAsia="Times New Roman" w:hAnsi="Arial" w:cs="Arial"/>
                <w:color w:val="000000"/>
                <w:lang w:eastAsia="en-GB"/>
              </w:rPr>
            </w:pPr>
            <w:r w:rsidRPr="00257CDC">
              <w:rPr>
                <w:rFonts w:ascii="Arial" w:eastAsia="Times New Roman" w:hAnsi="Arial" w:cs="Arial"/>
                <w:color w:val="000000"/>
                <w:lang w:eastAsia="en-GB"/>
              </w:rPr>
              <w:t>Financial Management (Development &amp; Schools)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257CDC" w:rsidRDefault="00B953D0" w:rsidP="00B953D0">
            <w:pPr>
              <w:spacing w:after="0" w:line="240" w:lineRule="auto"/>
              <w:rPr>
                <w:rFonts w:ascii="Arial" w:eastAsia="Times New Roman" w:hAnsi="Arial" w:cs="Arial"/>
                <w:color w:val="000000"/>
                <w:lang w:eastAsia="en-GB"/>
              </w:rPr>
            </w:pPr>
            <w:r w:rsidRPr="00257CDC">
              <w:rPr>
                <w:rFonts w:ascii="Arial" w:eastAsia="Times New Roman" w:hAnsi="Arial" w:cs="Arial"/>
                <w:color w:val="000000"/>
                <w:lang w:eastAsia="en-GB"/>
              </w:rPr>
              <w:t>Schools thematic audit: procurement</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257CDC" w:rsidRDefault="00B953D0" w:rsidP="00B953D0">
            <w:pPr>
              <w:spacing w:after="0" w:line="240" w:lineRule="auto"/>
              <w:rPr>
                <w:rFonts w:ascii="Arial" w:eastAsia="Times New Roman" w:hAnsi="Arial" w:cs="Arial"/>
                <w:color w:val="000000"/>
                <w:lang w:eastAsia="en-GB"/>
              </w:rPr>
            </w:pPr>
            <w:r w:rsidRPr="00257CDC">
              <w:rPr>
                <w:rFonts w:ascii="Arial" w:eastAsia="Times New Roman" w:hAnsi="Arial" w:cs="Arial"/>
                <w:color w:val="000000"/>
                <w:lang w:eastAsia="en-GB"/>
              </w:rPr>
              <w:t xml:space="preserve">Audit of a sample of schools' arrangements for procuring goods and services.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257CDC" w:rsidRDefault="00B953D0" w:rsidP="00B953D0">
            <w:pPr>
              <w:spacing w:after="0" w:line="240" w:lineRule="auto"/>
              <w:rPr>
                <w:rFonts w:ascii="Arial" w:eastAsia="Times New Roman" w:hAnsi="Arial" w:cs="Arial"/>
                <w:color w:val="000000"/>
                <w:lang w:eastAsia="en-GB"/>
              </w:rPr>
            </w:pPr>
            <w:r w:rsidRPr="00257CDC">
              <w:rPr>
                <w:rFonts w:ascii="Arial" w:eastAsia="Times New Roman" w:hAnsi="Arial" w:cs="Arial"/>
                <w:color w:val="000000"/>
                <w:lang w:eastAsia="en-GB"/>
              </w:rPr>
              <w:t>1+2</w:t>
            </w:r>
          </w:p>
        </w:tc>
      </w:tr>
      <w:tr w:rsidR="00B953D0" w:rsidTr="00D72B59">
        <w:tc>
          <w:tcPr>
            <w:tcW w:w="13183" w:type="dxa"/>
            <w:gridSpan w:val="3"/>
            <w:tcBorders>
              <w:top w:val="nil"/>
            </w:tcBorders>
            <w:shd w:val="clear" w:color="auto" w:fill="auto"/>
          </w:tcPr>
          <w:p w:rsidR="00B953D0" w:rsidRPr="00E822AC" w:rsidRDefault="00B953D0" w:rsidP="00B953D0">
            <w:pPr>
              <w:spacing w:before="40" w:after="40" w:line="240" w:lineRule="auto"/>
              <w:rPr>
                <w:rFonts w:ascii="Arial" w:hAnsi="Arial" w:cs="Arial"/>
                <w:b/>
              </w:rPr>
            </w:pPr>
            <w:r w:rsidRPr="00E822AC">
              <w:rPr>
                <w:rFonts w:ascii="Arial" w:hAnsi="Arial" w:cs="Arial"/>
                <w:b/>
              </w:rPr>
              <w:t>Growth, Environment &amp; Transport</w:t>
            </w:r>
          </w:p>
        </w:tc>
        <w:tc>
          <w:tcPr>
            <w:tcW w:w="851" w:type="dxa"/>
            <w:tcBorders>
              <w:top w:val="nil"/>
            </w:tcBorders>
            <w:shd w:val="clear" w:color="auto" w:fill="auto"/>
          </w:tcPr>
          <w:p w:rsidR="00B953D0" w:rsidRPr="00E822AC" w:rsidRDefault="00B953D0" w:rsidP="00B953D0">
            <w:pPr>
              <w:spacing w:before="40" w:after="40" w:line="240" w:lineRule="auto"/>
              <w:rPr>
                <w:rFonts w:ascii="Arial" w:eastAsia="Times New Roman" w:hAnsi="Arial" w:cs="Arial"/>
                <w:b/>
                <w:color w:val="000000"/>
                <w:lang w:eastAsia="en-GB"/>
              </w:rPr>
            </w:pP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All</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Improvement plan implementation</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Work to understand and assess the directorate's plans and action to deliver service improvement.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hAnsi="Arial" w:cs="Arial"/>
                <w:color w:val="000000"/>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Highways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Highways stocks and stores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Assessment of the arrangements in depots for the proper management of stocks and stores, including their security and the treatment of wastage.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hAnsi="Arial" w:cs="Arial"/>
                <w:color w:val="000000"/>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Public &amp; Integrated Transport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Operation of the non-HGV vehicle fleet </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Audit of the effectiveness of controls over the operation of non-HGV council fleet.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hAnsi="Arial" w:cs="Arial"/>
                <w:color w:val="000000"/>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Highways; Public &amp; Integrated Transport; Waste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Health and safety at operational depots.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An audit of the controls to manage the risks to operatives' and the public's health and safety at transport and highways depots, and household waste and recycling centres.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hAnsi="Arial" w:cs="Arial"/>
                <w:color w:val="000000"/>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LEP Coordination</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Operation of the LEP assurance framework</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Consideration of the adequacy of the assurance over the activities of the LEP following the change in legal status with effect from April 2019.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hAnsi="Arial" w:cs="Arial"/>
                <w:color w:val="000000"/>
              </w:rPr>
              <w:t>1+2</w:t>
            </w:r>
          </w:p>
        </w:tc>
      </w:tr>
      <w:tr w:rsidR="00B953D0" w:rsidTr="00257CD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Planning &amp; Environment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The Countryside Service.</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Consideration of the adequacy and effectiveness of the processes and controls that ensure sites remain open and safe in accordance with the Occupiers Liability Act</w:t>
            </w:r>
            <w:r>
              <w:rPr>
                <w:rFonts w:ascii="Arial" w:eastAsia="Times New Roman" w:hAnsi="Arial" w:cs="Arial"/>
                <w:color w:val="000000"/>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hAnsi="Arial" w:cs="Arial"/>
                <w:color w:val="000000"/>
              </w:rPr>
              <w:t>1+2</w:t>
            </w:r>
          </w:p>
        </w:tc>
      </w:tr>
      <w:tr w:rsidR="00B953D0" w:rsidTr="00257CDC">
        <w:tc>
          <w:tcPr>
            <w:tcW w:w="13183" w:type="dxa"/>
            <w:gridSpan w:val="3"/>
            <w:tcBorders>
              <w:top w:val="nil"/>
            </w:tcBorders>
            <w:shd w:val="clear" w:color="auto" w:fill="auto"/>
          </w:tcPr>
          <w:p w:rsidR="00B953D0" w:rsidRPr="00E822AC" w:rsidRDefault="00B953D0" w:rsidP="00B953D0">
            <w:pPr>
              <w:spacing w:before="40" w:after="40" w:line="240" w:lineRule="auto"/>
              <w:rPr>
                <w:rFonts w:ascii="Arial" w:hAnsi="Arial" w:cs="Arial"/>
                <w:b/>
              </w:rPr>
            </w:pPr>
            <w:r w:rsidRPr="00E822AC">
              <w:rPr>
                <w:rFonts w:ascii="Arial" w:hAnsi="Arial" w:cs="Arial"/>
                <w:b/>
              </w:rPr>
              <w:t>Pension Fund</w:t>
            </w:r>
          </w:p>
        </w:tc>
        <w:tc>
          <w:tcPr>
            <w:tcW w:w="851" w:type="dxa"/>
            <w:tcBorders>
              <w:top w:val="nil"/>
            </w:tcBorders>
            <w:shd w:val="clear" w:color="auto" w:fill="auto"/>
          </w:tcPr>
          <w:p w:rsidR="00B953D0" w:rsidRPr="00E822AC" w:rsidRDefault="00B953D0" w:rsidP="00B953D0">
            <w:pPr>
              <w:spacing w:before="40" w:after="40" w:line="240" w:lineRule="auto"/>
              <w:rPr>
                <w:rFonts w:ascii="Arial" w:eastAsia="Times New Roman" w:hAnsi="Arial" w:cs="Arial"/>
                <w:b/>
                <w:color w:val="000000"/>
                <w:lang w:eastAsia="en-GB"/>
              </w:rPr>
            </w:pP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Pension Fund</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Collecting contributions from employers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controls over the collection of contributions from employers.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13183" w:type="dxa"/>
            <w:gridSpan w:val="3"/>
            <w:tcBorders>
              <w:top w:val="single" w:sz="4" w:space="0" w:color="auto"/>
            </w:tcBorders>
            <w:shd w:val="clear" w:color="auto" w:fill="F2F2F2" w:themeFill="background1" w:themeFillShade="F2"/>
          </w:tcPr>
          <w:p w:rsidR="00B953D0" w:rsidRPr="00E822AC" w:rsidRDefault="00B953D0" w:rsidP="00B953D0">
            <w:pPr>
              <w:spacing w:before="40" w:after="40" w:line="240" w:lineRule="auto"/>
              <w:rPr>
                <w:rFonts w:ascii="Arial" w:eastAsia="Times New Roman" w:hAnsi="Arial" w:cs="Arial"/>
                <w:b/>
                <w:sz w:val="24"/>
                <w:szCs w:val="24"/>
                <w:lang w:eastAsia="en-GB"/>
              </w:rPr>
            </w:pPr>
            <w:r w:rsidRPr="00E822AC">
              <w:rPr>
                <w:rFonts w:ascii="Arial" w:eastAsia="Times New Roman" w:hAnsi="Arial" w:cs="Arial"/>
                <w:b/>
                <w:sz w:val="24"/>
                <w:szCs w:val="24"/>
                <w:lang w:eastAsia="en-GB"/>
              </w:rPr>
              <w:t>Control framework: service support</w:t>
            </w:r>
          </w:p>
        </w:tc>
        <w:tc>
          <w:tcPr>
            <w:tcW w:w="851" w:type="dxa"/>
            <w:tcBorders>
              <w:top w:val="single" w:sz="4" w:space="0" w:color="auto"/>
            </w:tcBorders>
            <w:shd w:val="clear" w:color="auto" w:fill="F2F2F2" w:themeFill="background1" w:themeFillShade="F2"/>
          </w:tcPr>
          <w:p w:rsidR="00B953D0" w:rsidRPr="00E822AC" w:rsidRDefault="00B953D0" w:rsidP="00B953D0">
            <w:pPr>
              <w:spacing w:before="40" w:after="40" w:line="240" w:lineRule="auto"/>
              <w:rPr>
                <w:rFonts w:ascii="Arial" w:eastAsia="Times New Roman" w:hAnsi="Arial" w:cs="Arial"/>
                <w:b/>
                <w:sz w:val="24"/>
                <w:szCs w:val="24"/>
                <w:lang w:eastAsia="en-GB"/>
              </w:rPr>
            </w:pP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Health, Safety &amp; Resilience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Compliance with lone worker arrangements in services across the council</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For a sample of service areas, we will assess compliance with the new lone working arrangements introduced by the Health, Safety and Resilience team.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Core Systems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Management and monitoring of system changes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 review of the adequacy of the controls in place over the introduction of changes to the core ICT systems.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Core Systems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Improved data management</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Work to understand the action being taken to improve the council's data quality and management.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Asset Management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PAMS improvement plan</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action being taken to ensure that PAMS properly supports the organisation's objectives and operates effectively.</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w:t>
            </w:r>
          </w:p>
        </w:tc>
      </w:tr>
      <w:tr w:rsidR="00B953D0" w:rsidTr="00D72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Asset Management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Highways Authorities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adequacy and effectiveness of the arrangements underpinning the completion of the Highways Authority self-assessment.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Asset Management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Contract monitoring: Building Schools for the Future (BSF) contracts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procedures in place to monitor the BSF contracts, both their financial performance and in relation to the health and safety of staff and students in the school buildings.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Asset Management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sidRPr="00265CB8">
              <w:rPr>
                <w:rFonts w:ascii="Arial" w:eastAsia="Times New Roman" w:hAnsi="Arial" w:cs="Arial"/>
                <w:color w:val="000000"/>
                <w:lang w:eastAsia="en-GB"/>
              </w:rPr>
              <w:t>Premises compliance: health and safety in properties managed by the council</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sidRPr="00265CB8">
              <w:rPr>
                <w:rFonts w:ascii="Arial" w:eastAsia="Times New Roman" w:hAnsi="Arial" w:cs="Arial"/>
                <w:color w:val="000000"/>
                <w:lang w:eastAsia="en-GB"/>
              </w:rPr>
              <w:t>Assessment of the process by which compliance with statutory and other requirements is assured by the compliance team for properties managed by the council.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Asset Management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CCTV surveillance conducted from the council's estate.</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Confirmation that the council is compliant with GDPR and any requirements related to the use of CCTV cameras and retention of data obtained from them.</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Skills, Learning &amp; Development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Implementation of the new e-learning system</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Assessment of the controls supporting the effective implementation of the system, focussing on the areas of the council most reliant on staff training and development.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Human Resources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Sickness absence management</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corporate management of sickness absence, by performance monitoring and the provision of support to operational managers.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257CD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Procurement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End-to-end procurement to payment process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Audit of the end-to-end processes operated from the procurement of new suppliers through to processing payments.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257CDC">
        <w:tc>
          <w:tcPr>
            <w:tcW w:w="2268" w:type="dxa"/>
            <w:tcBorders>
              <w:top w:val="single" w:sz="4" w:space="0" w:color="auto"/>
              <w:left w:val="nil"/>
              <w:bottom w:val="nil"/>
              <w:right w:val="nil"/>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p>
        </w:tc>
        <w:tc>
          <w:tcPr>
            <w:tcW w:w="3828" w:type="dxa"/>
            <w:tcBorders>
              <w:top w:val="single" w:sz="4" w:space="0" w:color="auto"/>
              <w:left w:val="nil"/>
              <w:bottom w:val="nil"/>
              <w:right w:val="nil"/>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p>
        </w:tc>
        <w:tc>
          <w:tcPr>
            <w:tcW w:w="7087" w:type="dxa"/>
            <w:tcBorders>
              <w:top w:val="single" w:sz="4" w:space="0" w:color="auto"/>
              <w:left w:val="nil"/>
              <w:bottom w:val="nil"/>
              <w:right w:val="nil"/>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p>
        </w:tc>
        <w:tc>
          <w:tcPr>
            <w:tcW w:w="851" w:type="dxa"/>
            <w:tcBorders>
              <w:top w:val="single" w:sz="4" w:space="0" w:color="auto"/>
              <w:left w:val="nil"/>
              <w:bottom w:val="nil"/>
              <w:right w:val="nil"/>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p>
        </w:tc>
      </w:tr>
      <w:tr w:rsidR="00B953D0" w:rsidTr="00257CDC">
        <w:tc>
          <w:tcPr>
            <w:tcW w:w="13183" w:type="dxa"/>
            <w:gridSpan w:val="3"/>
            <w:tcBorders>
              <w:top w:val="nil"/>
              <w:right w:val="nil"/>
            </w:tcBorders>
            <w:shd w:val="clear" w:color="auto" w:fill="F2F2F2" w:themeFill="background1" w:themeFillShade="F2"/>
          </w:tcPr>
          <w:p w:rsidR="00B953D0" w:rsidRPr="00E822AC" w:rsidRDefault="00B953D0" w:rsidP="00B953D0">
            <w:pPr>
              <w:spacing w:before="40" w:after="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Technology risk assurance</w:t>
            </w:r>
          </w:p>
        </w:tc>
        <w:tc>
          <w:tcPr>
            <w:tcW w:w="851" w:type="dxa"/>
            <w:tcBorders>
              <w:top w:val="nil"/>
              <w:left w:val="nil"/>
            </w:tcBorders>
            <w:shd w:val="clear" w:color="auto" w:fill="F2F2F2" w:themeFill="background1" w:themeFillShade="F2"/>
          </w:tcPr>
          <w:p w:rsidR="00B953D0" w:rsidRPr="00E822AC" w:rsidRDefault="00B953D0" w:rsidP="00B953D0">
            <w:pPr>
              <w:spacing w:before="40" w:after="40" w:line="240" w:lineRule="auto"/>
              <w:rPr>
                <w:rFonts w:ascii="Arial" w:eastAsia="Times New Roman" w:hAnsi="Arial" w:cs="Arial"/>
                <w:b/>
                <w:sz w:val="24"/>
                <w:szCs w:val="24"/>
                <w:lang w:eastAsia="en-GB"/>
              </w:rPr>
            </w:pPr>
          </w:p>
        </w:tc>
      </w:tr>
      <w:tr w:rsidR="00B953D0" w:rsidTr="00D72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Core Systems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Service management: Core Systems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Review of service management arrangements.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B953D0" w:rsidTr="00D72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BTLS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Service management: BTLS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Review of service management arrangements.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3D0" w:rsidRPr="00E822AC"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B953D0" w:rsidTr="00D72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Core Systems and BTLS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Critical applications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Review of critical systems' security, performance, resilience and recovery.</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B953D0" w:rsidTr="00D72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Core Systems and BTLS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Mobile devices and data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Review of the security of mobile devices and the data held on them, with an emphasis on the configuration of devices.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B953D0" w:rsidTr="00D72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Core Systems and BTLS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Cyber resilience</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Review of organisational cyber resilience capability.</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B953D0" w:rsidTr="00D72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Core Systems and BTLS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Incident management and response</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Review of arrangements to respond to and recover from service disruptions in accordance with business need.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B953D0" w:rsidTr="00D72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Core Systems and BTLS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NHS data security and protection toolkit</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Review of the council's mandatory submission to ensure continued access to care data.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3D0" w:rsidRDefault="00B953D0" w:rsidP="00B953D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B953D0" w:rsidTr="00D72B59">
        <w:tc>
          <w:tcPr>
            <w:tcW w:w="13183" w:type="dxa"/>
            <w:gridSpan w:val="3"/>
            <w:tcBorders>
              <w:top w:val="single" w:sz="4" w:space="0" w:color="auto"/>
            </w:tcBorders>
            <w:shd w:val="clear" w:color="auto" w:fill="F2F2F2" w:themeFill="background1" w:themeFillShade="F2"/>
          </w:tcPr>
          <w:p w:rsidR="00B953D0" w:rsidRPr="00E822AC" w:rsidRDefault="00B953D0" w:rsidP="00B953D0">
            <w:pPr>
              <w:spacing w:before="40" w:after="40" w:line="240" w:lineRule="auto"/>
              <w:rPr>
                <w:rFonts w:ascii="Arial" w:eastAsia="Times New Roman" w:hAnsi="Arial" w:cs="Arial"/>
                <w:b/>
                <w:sz w:val="24"/>
                <w:szCs w:val="24"/>
                <w:lang w:eastAsia="en-GB"/>
              </w:rPr>
            </w:pPr>
            <w:r w:rsidRPr="00E822AC">
              <w:rPr>
                <w:rFonts w:ascii="Arial" w:eastAsia="Times New Roman" w:hAnsi="Arial" w:cs="Arial"/>
                <w:b/>
                <w:sz w:val="24"/>
                <w:szCs w:val="24"/>
                <w:lang w:eastAsia="en-GB"/>
              </w:rPr>
              <w:t>Control framework: business processes</w:t>
            </w:r>
          </w:p>
        </w:tc>
        <w:tc>
          <w:tcPr>
            <w:tcW w:w="851" w:type="dxa"/>
            <w:tcBorders>
              <w:top w:val="single" w:sz="4" w:space="0" w:color="auto"/>
            </w:tcBorders>
            <w:shd w:val="clear" w:color="auto" w:fill="F2F2F2" w:themeFill="background1" w:themeFillShade="F2"/>
          </w:tcPr>
          <w:p w:rsidR="00B953D0" w:rsidRPr="00E822AC" w:rsidRDefault="00B953D0" w:rsidP="00B953D0">
            <w:pPr>
              <w:spacing w:before="40" w:after="40" w:line="240" w:lineRule="auto"/>
              <w:rPr>
                <w:rFonts w:ascii="Arial" w:eastAsia="Times New Roman" w:hAnsi="Arial" w:cs="Arial"/>
                <w:b/>
                <w:sz w:val="24"/>
                <w:szCs w:val="24"/>
                <w:lang w:eastAsia="en-GB"/>
              </w:rPr>
            </w:pP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Core Systems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Oracle user access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Review of the improvement plan.</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Payroll Service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Payroll processing by BTLS of information provided by LCC</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Compliance testing of the key controls.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Payroll Service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Payroll overpayments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Complian</w:t>
            </w:r>
            <w:r>
              <w:rPr>
                <w:rFonts w:ascii="Arial" w:eastAsia="Times New Roman" w:hAnsi="Arial" w:cs="Arial"/>
                <w:color w:val="000000"/>
                <w:lang w:eastAsia="en-GB"/>
              </w:rPr>
              <w:t>ce testing of the key controls.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Exchequer Services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Accounts receivable: central controls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Compliance testing of the key controls.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Exchequer Services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Accounts payable: central controls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Compliance testing of the key controls.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Exchequer Services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Cash and banking</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Compliance testing of the key controls.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Exchequer Services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General ledger</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Compliance testing of the key controls.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Exchequer Services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VAT</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Compliance testing of the key controls.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 sample of all</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Mileage claims by staff across the council</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 xml:space="preserve">Testing of compliance with corporate policy including insurance cover, driving licence and V5 checks.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1+2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Investment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Treasury management</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Compliance testing of the key controls.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2</w:t>
            </w:r>
          </w:p>
        </w:tc>
      </w:tr>
      <w:tr w:rsidR="00B953D0" w:rsidTr="00D72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Financial Management (Development &amp; Schools)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Schools' Financial Value Standard (SFVS) self-assessments</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Review of a sample of SFVS self-assessments submitted by schools for 2018/19 to ensure their assertions are supported by adequate evidence, and follow-up of 2018/19 actions.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2</w:t>
            </w:r>
          </w:p>
        </w:tc>
      </w:tr>
      <w:tr w:rsidR="00B953D0" w:rsidTr="00D72B5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Pension Fund</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Accounting for the Pension Fund through the council's general ledger</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Compliance testing of key controls.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53D0" w:rsidRPr="00E822AC" w:rsidRDefault="00B953D0" w:rsidP="00B953D0">
            <w:pPr>
              <w:spacing w:after="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2</w:t>
            </w:r>
          </w:p>
        </w:tc>
      </w:tr>
    </w:tbl>
    <w:p w:rsidR="00F92055" w:rsidRPr="001D6363" w:rsidRDefault="00B953D0">
      <w:pPr>
        <w:rPr>
          <w:rFonts w:ascii="Arial" w:hAnsi="Arial" w:cs="Arial"/>
          <w:sz w:val="24"/>
          <w:szCs w:val="24"/>
        </w:rPr>
      </w:pPr>
    </w:p>
    <w:sectPr w:rsidR="00F92055" w:rsidRPr="001D6363" w:rsidSect="00257CDC">
      <w:headerReference w:type="default" r:id="rId8"/>
      <w:footerReference w:type="default" r:id="rId9"/>
      <w:headerReference w:type="first" r:id="rId10"/>
      <w:footerReference w:type="first" r:id="rId11"/>
      <w:pgSz w:w="16838" w:h="11906" w:orient="landscape"/>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7A" w:rsidRDefault="00CF1470">
      <w:pPr>
        <w:spacing w:after="0" w:line="240" w:lineRule="auto"/>
      </w:pPr>
      <w:r>
        <w:separator/>
      </w:r>
    </w:p>
  </w:endnote>
  <w:endnote w:type="continuationSeparator" w:id="0">
    <w:p w:rsidR="00C3297A" w:rsidRDefault="00CF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55" w:rsidRPr="007E69B1" w:rsidRDefault="00B953D0" w:rsidP="00F92055">
    <w:pPr>
      <w:pStyle w:val="Footer"/>
      <w:jc w:val="right"/>
      <w:rPr>
        <w:rFonts w:ascii="Arial"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55" w:rsidRPr="004801D0" w:rsidRDefault="00B953D0" w:rsidP="00F92055">
    <w:pPr>
      <w:pStyle w:val="Footer"/>
      <w:jc w:val="right"/>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7A" w:rsidRDefault="00CF1470">
      <w:pPr>
        <w:spacing w:after="0" w:line="240" w:lineRule="auto"/>
      </w:pPr>
      <w:r>
        <w:separator/>
      </w:r>
    </w:p>
  </w:footnote>
  <w:footnote w:type="continuationSeparator" w:id="0">
    <w:p w:rsidR="00C3297A" w:rsidRDefault="00CF1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55" w:rsidRPr="004433D5" w:rsidRDefault="00CF1470" w:rsidP="00F92055">
    <w:pPr>
      <w:tabs>
        <w:tab w:val="right" w:pos="13892"/>
      </w:tabs>
      <w:rPr>
        <w:rFonts w:ascii="Arial" w:hAnsi="Arial" w:cs="Arial"/>
        <w:b/>
        <w:sz w:val="24"/>
        <w:szCs w:val="24"/>
      </w:rPr>
    </w:pPr>
    <w:r w:rsidRPr="004433D5">
      <w:rPr>
        <w:rFonts w:ascii="Arial" w:hAnsi="Arial" w:cs="Arial"/>
        <w:b/>
        <w:sz w:val="24"/>
        <w:szCs w:val="24"/>
      </w:rPr>
      <w:t>Internal audit plan 2019/20</w:t>
    </w:r>
    <w:r w:rsidRPr="004433D5">
      <w:rPr>
        <w:rFonts w:ascii="Arial" w:hAnsi="Arial" w:cs="Arial"/>
        <w:b/>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55" w:rsidRPr="00534823" w:rsidRDefault="00CF1470" w:rsidP="00F92055">
    <w:pPr>
      <w:pStyle w:val="Header"/>
      <w:tabs>
        <w:tab w:val="clear" w:pos="4513"/>
        <w:tab w:val="clear" w:pos="9026"/>
        <w:tab w:val="right" w:pos="13892"/>
      </w:tabs>
      <w:rPr>
        <w:rFonts w:ascii="Arial" w:hAnsi="Arial" w:cs="Arial"/>
        <w:b/>
        <w:sz w:val="28"/>
        <w:szCs w:val="28"/>
      </w:rPr>
    </w:pPr>
    <w:r w:rsidRPr="004433D5">
      <w:rPr>
        <w:rFonts w:ascii="Arial" w:hAnsi="Arial" w:cs="Arial"/>
        <w:b/>
        <w:sz w:val="32"/>
        <w:szCs w:val="32"/>
      </w:rPr>
      <w:t>Internal audit plan 2019/20</w:t>
    </w:r>
    <w:r w:rsidRPr="00534823">
      <w:rPr>
        <w:rFonts w:ascii="Arial" w:hAnsi="Arial" w:cs="Arial"/>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pStyle w:val="Ruthsstandardparagraph"/>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 w15:restartNumberingAfterBreak="0">
    <w:nsid w:val="1C8B2B61"/>
    <w:multiLevelType w:val="hybridMultilevel"/>
    <w:tmpl w:val="3B84BAAA"/>
    <w:lvl w:ilvl="0" w:tplc="931639C0">
      <w:start w:val="1"/>
      <w:numFmt w:val="bullet"/>
      <w:lvlText w:val=""/>
      <w:lvlJc w:val="left"/>
      <w:pPr>
        <w:ind w:left="1440" w:hanging="360"/>
      </w:pPr>
      <w:rPr>
        <w:rFonts w:ascii="Symbol" w:hAnsi="Symbol" w:hint="default"/>
      </w:rPr>
    </w:lvl>
    <w:lvl w:ilvl="1" w:tplc="E0162EC8">
      <w:start w:val="1"/>
      <w:numFmt w:val="bullet"/>
      <w:lvlText w:val="o"/>
      <w:lvlJc w:val="left"/>
      <w:pPr>
        <w:ind w:left="2160" w:hanging="360"/>
      </w:pPr>
      <w:rPr>
        <w:rFonts w:ascii="Courier New" w:hAnsi="Courier New" w:cs="Courier New" w:hint="default"/>
      </w:rPr>
    </w:lvl>
    <w:lvl w:ilvl="2" w:tplc="F978FF0E" w:tentative="1">
      <w:start w:val="1"/>
      <w:numFmt w:val="bullet"/>
      <w:lvlText w:val=""/>
      <w:lvlJc w:val="left"/>
      <w:pPr>
        <w:ind w:left="2880" w:hanging="360"/>
      </w:pPr>
      <w:rPr>
        <w:rFonts w:ascii="Wingdings" w:hAnsi="Wingdings" w:hint="default"/>
      </w:rPr>
    </w:lvl>
    <w:lvl w:ilvl="3" w:tplc="6624FF52" w:tentative="1">
      <w:start w:val="1"/>
      <w:numFmt w:val="bullet"/>
      <w:lvlText w:val=""/>
      <w:lvlJc w:val="left"/>
      <w:pPr>
        <w:ind w:left="3600" w:hanging="360"/>
      </w:pPr>
      <w:rPr>
        <w:rFonts w:ascii="Symbol" w:hAnsi="Symbol" w:hint="default"/>
      </w:rPr>
    </w:lvl>
    <w:lvl w:ilvl="4" w:tplc="9258AC00" w:tentative="1">
      <w:start w:val="1"/>
      <w:numFmt w:val="bullet"/>
      <w:lvlText w:val="o"/>
      <w:lvlJc w:val="left"/>
      <w:pPr>
        <w:ind w:left="4320" w:hanging="360"/>
      </w:pPr>
      <w:rPr>
        <w:rFonts w:ascii="Courier New" w:hAnsi="Courier New" w:cs="Courier New" w:hint="default"/>
      </w:rPr>
    </w:lvl>
    <w:lvl w:ilvl="5" w:tplc="18FCC018" w:tentative="1">
      <w:start w:val="1"/>
      <w:numFmt w:val="bullet"/>
      <w:lvlText w:val=""/>
      <w:lvlJc w:val="left"/>
      <w:pPr>
        <w:ind w:left="5040" w:hanging="360"/>
      </w:pPr>
      <w:rPr>
        <w:rFonts w:ascii="Wingdings" w:hAnsi="Wingdings" w:hint="default"/>
      </w:rPr>
    </w:lvl>
    <w:lvl w:ilvl="6" w:tplc="F10C189C" w:tentative="1">
      <w:start w:val="1"/>
      <w:numFmt w:val="bullet"/>
      <w:lvlText w:val=""/>
      <w:lvlJc w:val="left"/>
      <w:pPr>
        <w:ind w:left="5760" w:hanging="360"/>
      </w:pPr>
      <w:rPr>
        <w:rFonts w:ascii="Symbol" w:hAnsi="Symbol" w:hint="default"/>
      </w:rPr>
    </w:lvl>
    <w:lvl w:ilvl="7" w:tplc="98B0FC42" w:tentative="1">
      <w:start w:val="1"/>
      <w:numFmt w:val="bullet"/>
      <w:lvlText w:val="o"/>
      <w:lvlJc w:val="left"/>
      <w:pPr>
        <w:ind w:left="6480" w:hanging="360"/>
      </w:pPr>
      <w:rPr>
        <w:rFonts w:ascii="Courier New" w:hAnsi="Courier New" w:cs="Courier New" w:hint="default"/>
      </w:rPr>
    </w:lvl>
    <w:lvl w:ilvl="8" w:tplc="3A3ED8EE" w:tentative="1">
      <w:start w:val="1"/>
      <w:numFmt w:val="bullet"/>
      <w:lvlText w:val=""/>
      <w:lvlJc w:val="left"/>
      <w:pPr>
        <w:ind w:left="7200" w:hanging="360"/>
      </w:pPr>
      <w:rPr>
        <w:rFonts w:ascii="Wingdings" w:hAnsi="Wingdings" w:hint="default"/>
      </w:rPr>
    </w:lvl>
  </w:abstractNum>
  <w:abstractNum w:abstractNumId="3" w15:restartNumberingAfterBreak="0">
    <w:nsid w:val="1E5317D0"/>
    <w:multiLevelType w:val="hybridMultilevel"/>
    <w:tmpl w:val="83385C7E"/>
    <w:lvl w:ilvl="0" w:tplc="ACF815E8">
      <w:start w:val="1"/>
      <w:numFmt w:val="bullet"/>
      <w:lvlText w:val=""/>
      <w:lvlJc w:val="left"/>
      <w:pPr>
        <w:ind w:left="720" w:hanging="360"/>
      </w:pPr>
      <w:rPr>
        <w:rFonts w:ascii="Symbol" w:hAnsi="Symbol" w:hint="default"/>
      </w:rPr>
    </w:lvl>
    <w:lvl w:ilvl="1" w:tplc="CA20CDE4" w:tentative="1">
      <w:start w:val="1"/>
      <w:numFmt w:val="bullet"/>
      <w:lvlText w:val="o"/>
      <w:lvlJc w:val="left"/>
      <w:pPr>
        <w:ind w:left="1440" w:hanging="360"/>
      </w:pPr>
      <w:rPr>
        <w:rFonts w:ascii="Courier New" w:hAnsi="Courier New" w:cs="Courier New" w:hint="default"/>
      </w:rPr>
    </w:lvl>
    <w:lvl w:ilvl="2" w:tplc="24508B60" w:tentative="1">
      <w:start w:val="1"/>
      <w:numFmt w:val="bullet"/>
      <w:lvlText w:val=""/>
      <w:lvlJc w:val="left"/>
      <w:pPr>
        <w:ind w:left="2160" w:hanging="360"/>
      </w:pPr>
      <w:rPr>
        <w:rFonts w:ascii="Wingdings" w:hAnsi="Wingdings" w:hint="default"/>
      </w:rPr>
    </w:lvl>
    <w:lvl w:ilvl="3" w:tplc="64D80C84" w:tentative="1">
      <w:start w:val="1"/>
      <w:numFmt w:val="bullet"/>
      <w:lvlText w:val=""/>
      <w:lvlJc w:val="left"/>
      <w:pPr>
        <w:ind w:left="2880" w:hanging="360"/>
      </w:pPr>
      <w:rPr>
        <w:rFonts w:ascii="Symbol" w:hAnsi="Symbol" w:hint="default"/>
      </w:rPr>
    </w:lvl>
    <w:lvl w:ilvl="4" w:tplc="88F2422E" w:tentative="1">
      <w:start w:val="1"/>
      <w:numFmt w:val="bullet"/>
      <w:lvlText w:val="o"/>
      <w:lvlJc w:val="left"/>
      <w:pPr>
        <w:ind w:left="3600" w:hanging="360"/>
      </w:pPr>
      <w:rPr>
        <w:rFonts w:ascii="Courier New" w:hAnsi="Courier New" w:cs="Courier New" w:hint="default"/>
      </w:rPr>
    </w:lvl>
    <w:lvl w:ilvl="5" w:tplc="46BACD98" w:tentative="1">
      <w:start w:val="1"/>
      <w:numFmt w:val="bullet"/>
      <w:lvlText w:val=""/>
      <w:lvlJc w:val="left"/>
      <w:pPr>
        <w:ind w:left="4320" w:hanging="360"/>
      </w:pPr>
      <w:rPr>
        <w:rFonts w:ascii="Wingdings" w:hAnsi="Wingdings" w:hint="default"/>
      </w:rPr>
    </w:lvl>
    <w:lvl w:ilvl="6" w:tplc="BE7E73EA" w:tentative="1">
      <w:start w:val="1"/>
      <w:numFmt w:val="bullet"/>
      <w:lvlText w:val=""/>
      <w:lvlJc w:val="left"/>
      <w:pPr>
        <w:ind w:left="5040" w:hanging="360"/>
      </w:pPr>
      <w:rPr>
        <w:rFonts w:ascii="Symbol" w:hAnsi="Symbol" w:hint="default"/>
      </w:rPr>
    </w:lvl>
    <w:lvl w:ilvl="7" w:tplc="5F3E3596" w:tentative="1">
      <w:start w:val="1"/>
      <w:numFmt w:val="bullet"/>
      <w:lvlText w:val="o"/>
      <w:lvlJc w:val="left"/>
      <w:pPr>
        <w:ind w:left="5760" w:hanging="360"/>
      </w:pPr>
      <w:rPr>
        <w:rFonts w:ascii="Courier New" w:hAnsi="Courier New" w:cs="Courier New" w:hint="default"/>
      </w:rPr>
    </w:lvl>
    <w:lvl w:ilvl="8" w:tplc="36D6FE04" w:tentative="1">
      <w:start w:val="1"/>
      <w:numFmt w:val="bullet"/>
      <w:lvlText w:val=""/>
      <w:lvlJc w:val="left"/>
      <w:pPr>
        <w:ind w:left="6480" w:hanging="360"/>
      </w:pPr>
      <w:rPr>
        <w:rFonts w:ascii="Wingdings" w:hAnsi="Wingdings" w:hint="default"/>
      </w:rPr>
    </w:lvl>
  </w:abstractNum>
  <w:abstractNum w:abstractNumId="4" w15:restartNumberingAfterBreak="0">
    <w:nsid w:val="1EB6748B"/>
    <w:multiLevelType w:val="multilevel"/>
    <w:tmpl w:val="BA48126C"/>
    <w:lvl w:ilvl="0">
      <w:start w:val="1"/>
      <w:numFmt w:val="decimal"/>
      <w:pStyle w:val="Ruthsheader"/>
      <w:lvlText w:val="%1."/>
      <w:lvlJc w:val="left"/>
      <w:pPr>
        <w:ind w:left="360" w:hanging="360"/>
      </w:pPr>
    </w:lvl>
    <w:lvl w:ilvl="1">
      <w:start w:val="1"/>
      <w:numFmt w:val="decimal"/>
      <w:pStyle w:val="Ruths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FB66DD"/>
    <w:multiLevelType w:val="hybridMultilevel"/>
    <w:tmpl w:val="E5B62EDC"/>
    <w:lvl w:ilvl="0" w:tplc="0EF8C49A">
      <w:start w:val="1"/>
      <w:numFmt w:val="bullet"/>
      <w:lvlText w:val=""/>
      <w:lvlJc w:val="left"/>
      <w:pPr>
        <w:ind w:left="1080" w:hanging="360"/>
      </w:pPr>
      <w:rPr>
        <w:rFonts w:ascii="Symbol" w:hAnsi="Symbol" w:hint="default"/>
      </w:rPr>
    </w:lvl>
    <w:lvl w:ilvl="1" w:tplc="BC0238B2" w:tentative="1">
      <w:start w:val="1"/>
      <w:numFmt w:val="bullet"/>
      <w:lvlText w:val="o"/>
      <w:lvlJc w:val="left"/>
      <w:pPr>
        <w:ind w:left="1800" w:hanging="360"/>
      </w:pPr>
      <w:rPr>
        <w:rFonts w:ascii="Courier New" w:hAnsi="Courier New" w:cs="Courier New" w:hint="default"/>
      </w:rPr>
    </w:lvl>
    <w:lvl w:ilvl="2" w:tplc="4CFAA818" w:tentative="1">
      <w:start w:val="1"/>
      <w:numFmt w:val="bullet"/>
      <w:lvlText w:val=""/>
      <w:lvlJc w:val="left"/>
      <w:pPr>
        <w:ind w:left="2520" w:hanging="360"/>
      </w:pPr>
      <w:rPr>
        <w:rFonts w:ascii="Wingdings" w:hAnsi="Wingdings" w:hint="default"/>
      </w:rPr>
    </w:lvl>
    <w:lvl w:ilvl="3" w:tplc="145455FC" w:tentative="1">
      <w:start w:val="1"/>
      <w:numFmt w:val="bullet"/>
      <w:lvlText w:val=""/>
      <w:lvlJc w:val="left"/>
      <w:pPr>
        <w:ind w:left="3240" w:hanging="360"/>
      </w:pPr>
      <w:rPr>
        <w:rFonts w:ascii="Symbol" w:hAnsi="Symbol" w:hint="default"/>
      </w:rPr>
    </w:lvl>
    <w:lvl w:ilvl="4" w:tplc="0DC242D6" w:tentative="1">
      <w:start w:val="1"/>
      <w:numFmt w:val="bullet"/>
      <w:lvlText w:val="o"/>
      <w:lvlJc w:val="left"/>
      <w:pPr>
        <w:ind w:left="3960" w:hanging="360"/>
      </w:pPr>
      <w:rPr>
        <w:rFonts w:ascii="Courier New" w:hAnsi="Courier New" w:cs="Courier New" w:hint="default"/>
      </w:rPr>
    </w:lvl>
    <w:lvl w:ilvl="5" w:tplc="7FDCAF4A" w:tentative="1">
      <w:start w:val="1"/>
      <w:numFmt w:val="bullet"/>
      <w:lvlText w:val=""/>
      <w:lvlJc w:val="left"/>
      <w:pPr>
        <w:ind w:left="4680" w:hanging="360"/>
      </w:pPr>
      <w:rPr>
        <w:rFonts w:ascii="Wingdings" w:hAnsi="Wingdings" w:hint="default"/>
      </w:rPr>
    </w:lvl>
    <w:lvl w:ilvl="6" w:tplc="4CA6CA1A" w:tentative="1">
      <w:start w:val="1"/>
      <w:numFmt w:val="bullet"/>
      <w:lvlText w:val=""/>
      <w:lvlJc w:val="left"/>
      <w:pPr>
        <w:ind w:left="5400" w:hanging="360"/>
      </w:pPr>
      <w:rPr>
        <w:rFonts w:ascii="Symbol" w:hAnsi="Symbol" w:hint="default"/>
      </w:rPr>
    </w:lvl>
    <w:lvl w:ilvl="7" w:tplc="BDACF07E" w:tentative="1">
      <w:start w:val="1"/>
      <w:numFmt w:val="bullet"/>
      <w:lvlText w:val="o"/>
      <w:lvlJc w:val="left"/>
      <w:pPr>
        <w:ind w:left="6120" w:hanging="360"/>
      </w:pPr>
      <w:rPr>
        <w:rFonts w:ascii="Courier New" w:hAnsi="Courier New" w:cs="Courier New" w:hint="default"/>
      </w:rPr>
    </w:lvl>
    <w:lvl w:ilvl="8" w:tplc="AE26683E" w:tentative="1">
      <w:start w:val="1"/>
      <w:numFmt w:val="bullet"/>
      <w:lvlText w:val=""/>
      <w:lvlJc w:val="left"/>
      <w:pPr>
        <w:ind w:left="6840" w:hanging="360"/>
      </w:pPr>
      <w:rPr>
        <w:rFonts w:ascii="Wingdings" w:hAnsi="Wingdings" w:hint="default"/>
      </w:rPr>
    </w:lvl>
  </w:abstractNum>
  <w:abstractNum w:abstractNumId="6" w15:restartNumberingAfterBreak="0">
    <w:nsid w:val="511674C1"/>
    <w:multiLevelType w:val="multilevel"/>
    <w:tmpl w:val="976CB93E"/>
    <w:numStyleLink w:val="Ruthstandard"/>
  </w:abstractNum>
  <w:abstractNum w:abstractNumId="7"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181484"/>
    <w:multiLevelType w:val="hybridMultilevel"/>
    <w:tmpl w:val="7E806872"/>
    <w:lvl w:ilvl="0" w:tplc="66B6AC0E">
      <w:start w:val="1"/>
      <w:numFmt w:val="bullet"/>
      <w:lvlText w:val=""/>
      <w:lvlJc w:val="left"/>
      <w:pPr>
        <w:ind w:left="1077" w:hanging="360"/>
      </w:pPr>
      <w:rPr>
        <w:rFonts w:ascii="Symbol" w:hAnsi="Symbol" w:hint="default"/>
      </w:rPr>
    </w:lvl>
    <w:lvl w:ilvl="1" w:tplc="1C44B968" w:tentative="1">
      <w:start w:val="1"/>
      <w:numFmt w:val="bullet"/>
      <w:lvlText w:val="o"/>
      <w:lvlJc w:val="left"/>
      <w:pPr>
        <w:ind w:left="1797" w:hanging="360"/>
      </w:pPr>
      <w:rPr>
        <w:rFonts w:ascii="Courier New" w:hAnsi="Courier New" w:cs="Courier New" w:hint="default"/>
      </w:rPr>
    </w:lvl>
    <w:lvl w:ilvl="2" w:tplc="4CD60B12" w:tentative="1">
      <w:start w:val="1"/>
      <w:numFmt w:val="bullet"/>
      <w:lvlText w:val=""/>
      <w:lvlJc w:val="left"/>
      <w:pPr>
        <w:ind w:left="2517" w:hanging="360"/>
      </w:pPr>
      <w:rPr>
        <w:rFonts w:ascii="Wingdings" w:hAnsi="Wingdings" w:hint="default"/>
      </w:rPr>
    </w:lvl>
    <w:lvl w:ilvl="3" w:tplc="32BEE888" w:tentative="1">
      <w:start w:val="1"/>
      <w:numFmt w:val="bullet"/>
      <w:lvlText w:val=""/>
      <w:lvlJc w:val="left"/>
      <w:pPr>
        <w:ind w:left="3237" w:hanging="360"/>
      </w:pPr>
      <w:rPr>
        <w:rFonts w:ascii="Symbol" w:hAnsi="Symbol" w:hint="default"/>
      </w:rPr>
    </w:lvl>
    <w:lvl w:ilvl="4" w:tplc="4AC6006A" w:tentative="1">
      <w:start w:val="1"/>
      <w:numFmt w:val="bullet"/>
      <w:lvlText w:val="o"/>
      <w:lvlJc w:val="left"/>
      <w:pPr>
        <w:ind w:left="3957" w:hanging="360"/>
      </w:pPr>
      <w:rPr>
        <w:rFonts w:ascii="Courier New" w:hAnsi="Courier New" w:cs="Courier New" w:hint="default"/>
      </w:rPr>
    </w:lvl>
    <w:lvl w:ilvl="5" w:tplc="2902B68A" w:tentative="1">
      <w:start w:val="1"/>
      <w:numFmt w:val="bullet"/>
      <w:lvlText w:val=""/>
      <w:lvlJc w:val="left"/>
      <w:pPr>
        <w:ind w:left="4677" w:hanging="360"/>
      </w:pPr>
      <w:rPr>
        <w:rFonts w:ascii="Wingdings" w:hAnsi="Wingdings" w:hint="default"/>
      </w:rPr>
    </w:lvl>
    <w:lvl w:ilvl="6" w:tplc="7D34C9E0" w:tentative="1">
      <w:start w:val="1"/>
      <w:numFmt w:val="bullet"/>
      <w:lvlText w:val=""/>
      <w:lvlJc w:val="left"/>
      <w:pPr>
        <w:ind w:left="5397" w:hanging="360"/>
      </w:pPr>
      <w:rPr>
        <w:rFonts w:ascii="Symbol" w:hAnsi="Symbol" w:hint="default"/>
      </w:rPr>
    </w:lvl>
    <w:lvl w:ilvl="7" w:tplc="150CB3F0" w:tentative="1">
      <w:start w:val="1"/>
      <w:numFmt w:val="bullet"/>
      <w:lvlText w:val="o"/>
      <w:lvlJc w:val="left"/>
      <w:pPr>
        <w:ind w:left="6117" w:hanging="360"/>
      </w:pPr>
      <w:rPr>
        <w:rFonts w:ascii="Courier New" w:hAnsi="Courier New" w:cs="Courier New" w:hint="default"/>
      </w:rPr>
    </w:lvl>
    <w:lvl w:ilvl="8" w:tplc="7ED408FE" w:tentative="1">
      <w:start w:val="1"/>
      <w:numFmt w:val="bullet"/>
      <w:lvlText w:val=""/>
      <w:lvlJc w:val="left"/>
      <w:pPr>
        <w:ind w:left="6837" w:hanging="360"/>
      </w:pPr>
      <w:rPr>
        <w:rFonts w:ascii="Wingdings" w:hAnsi="Wingdings" w:hint="default"/>
      </w:rPr>
    </w:lvl>
  </w:abstractNum>
  <w:abstractNum w:abstractNumId="9" w15:restartNumberingAfterBreak="0">
    <w:nsid w:val="689D0A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A906D6"/>
    <w:multiLevelType w:val="hybridMultilevel"/>
    <w:tmpl w:val="C4104C8C"/>
    <w:lvl w:ilvl="0" w:tplc="3AFEAB28">
      <w:start w:val="1"/>
      <w:numFmt w:val="bullet"/>
      <w:lvlText w:val=""/>
      <w:lvlJc w:val="left"/>
      <w:pPr>
        <w:ind w:left="720" w:hanging="360"/>
      </w:pPr>
      <w:rPr>
        <w:rFonts w:ascii="Symbol" w:hAnsi="Symbol" w:hint="default"/>
      </w:rPr>
    </w:lvl>
    <w:lvl w:ilvl="1" w:tplc="A3B6295C" w:tentative="1">
      <w:start w:val="1"/>
      <w:numFmt w:val="bullet"/>
      <w:lvlText w:val="o"/>
      <w:lvlJc w:val="left"/>
      <w:pPr>
        <w:ind w:left="1440" w:hanging="360"/>
      </w:pPr>
      <w:rPr>
        <w:rFonts w:ascii="Courier New" w:hAnsi="Courier New" w:cs="Courier New" w:hint="default"/>
      </w:rPr>
    </w:lvl>
    <w:lvl w:ilvl="2" w:tplc="317CBEEA" w:tentative="1">
      <w:start w:val="1"/>
      <w:numFmt w:val="bullet"/>
      <w:lvlText w:val=""/>
      <w:lvlJc w:val="left"/>
      <w:pPr>
        <w:ind w:left="2160" w:hanging="360"/>
      </w:pPr>
      <w:rPr>
        <w:rFonts w:ascii="Wingdings" w:hAnsi="Wingdings" w:hint="default"/>
      </w:rPr>
    </w:lvl>
    <w:lvl w:ilvl="3" w:tplc="AA00458A" w:tentative="1">
      <w:start w:val="1"/>
      <w:numFmt w:val="bullet"/>
      <w:lvlText w:val=""/>
      <w:lvlJc w:val="left"/>
      <w:pPr>
        <w:ind w:left="2880" w:hanging="360"/>
      </w:pPr>
      <w:rPr>
        <w:rFonts w:ascii="Symbol" w:hAnsi="Symbol" w:hint="default"/>
      </w:rPr>
    </w:lvl>
    <w:lvl w:ilvl="4" w:tplc="319222A8" w:tentative="1">
      <w:start w:val="1"/>
      <w:numFmt w:val="bullet"/>
      <w:lvlText w:val="o"/>
      <w:lvlJc w:val="left"/>
      <w:pPr>
        <w:ind w:left="3600" w:hanging="360"/>
      </w:pPr>
      <w:rPr>
        <w:rFonts w:ascii="Courier New" w:hAnsi="Courier New" w:cs="Courier New" w:hint="default"/>
      </w:rPr>
    </w:lvl>
    <w:lvl w:ilvl="5" w:tplc="111CC9C2" w:tentative="1">
      <w:start w:val="1"/>
      <w:numFmt w:val="bullet"/>
      <w:lvlText w:val=""/>
      <w:lvlJc w:val="left"/>
      <w:pPr>
        <w:ind w:left="4320" w:hanging="360"/>
      </w:pPr>
      <w:rPr>
        <w:rFonts w:ascii="Wingdings" w:hAnsi="Wingdings" w:hint="default"/>
      </w:rPr>
    </w:lvl>
    <w:lvl w:ilvl="6" w:tplc="AA482EE0" w:tentative="1">
      <w:start w:val="1"/>
      <w:numFmt w:val="bullet"/>
      <w:lvlText w:val=""/>
      <w:lvlJc w:val="left"/>
      <w:pPr>
        <w:ind w:left="5040" w:hanging="360"/>
      </w:pPr>
      <w:rPr>
        <w:rFonts w:ascii="Symbol" w:hAnsi="Symbol" w:hint="default"/>
      </w:rPr>
    </w:lvl>
    <w:lvl w:ilvl="7" w:tplc="B7B2DD82" w:tentative="1">
      <w:start w:val="1"/>
      <w:numFmt w:val="bullet"/>
      <w:lvlText w:val="o"/>
      <w:lvlJc w:val="left"/>
      <w:pPr>
        <w:ind w:left="5760" w:hanging="360"/>
      </w:pPr>
      <w:rPr>
        <w:rFonts w:ascii="Courier New" w:hAnsi="Courier New" w:cs="Courier New" w:hint="default"/>
      </w:rPr>
    </w:lvl>
    <w:lvl w:ilvl="8" w:tplc="76C4A82A" w:tentative="1">
      <w:start w:val="1"/>
      <w:numFmt w:val="bullet"/>
      <w:lvlText w:val=""/>
      <w:lvlJc w:val="left"/>
      <w:pPr>
        <w:ind w:left="6480" w:hanging="360"/>
      </w:pPr>
      <w:rPr>
        <w:rFonts w:ascii="Wingdings" w:hAnsi="Wingdings" w:hint="default"/>
      </w:rPr>
    </w:lvl>
  </w:abstractNum>
  <w:abstractNum w:abstractNumId="11" w15:restartNumberingAfterBreak="0">
    <w:nsid w:val="707B015E"/>
    <w:multiLevelType w:val="hybridMultilevel"/>
    <w:tmpl w:val="25348240"/>
    <w:lvl w:ilvl="0" w:tplc="6206E3B2">
      <w:start w:val="1"/>
      <w:numFmt w:val="bullet"/>
      <w:pStyle w:val="Ruthsbullets"/>
      <w:lvlText w:val=""/>
      <w:lvlJc w:val="left"/>
      <w:pPr>
        <w:ind w:left="720" w:hanging="360"/>
      </w:pPr>
      <w:rPr>
        <w:rFonts w:ascii="Symbol" w:hAnsi="Symbol" w:hint="default"/>
      </w:rPr>
    </w:lvl>
    <w:lvl w:ilvl="1" w:tplc="D0549E96">
      <w:start w:val="1"/>
      <w:numFmt w:val="bullet"/>
      <w:lvlText w:val="˗"/>
      <w:lvlJc w:val="left"/>
      <w:pPr>
        <w:ind w:left="1440" w:hanging="360"/>
      </w:pPr>
      <w:rPr>
        <w:rFonts w:ascii="Arial" w:hAnsi="Arial" w:hint="default"/>
      </w:rPr>
    </w:lvl>
    <w:lvl w:ilvl="2" w:tplc="4A5059D2" w:tentative="1">
      <w:start w:val="1"/>
      <w:numFmt w:val="bullet"/>
      <w:lvlText w:val=""/>
      <w:lvlJc w:val="left"/>
      <w:pPr>
        <w:ind w:left="2160" w:hanging="360"/>
      </w:pPr>
      <w:rPr>
        <w:rFonts w:ascii="Wingdings" w:hAnsi="Wingdings" w:hint="default"/>
      </w:rPr>
    </w:lvl>
    <w:lvl w:ilvl="3" w:tplc="1E946CBA" w:tentative="1">
      <w:start w:val="1"/>
      <w:numFmt w:val="bullet"/>
      <w:lvlText w:val=""/>
      <w:lvlJc w:val="left"/>
      <w:pPr>
        <w:ind w:left="2880" w:hanging="360"/>
      </w:pPr>
      <w:rPr>
        <w:rFonts w:ascii="Symbol" w:hAnsi="Symbol" w:hint="default"/>
      </w:rPr>
    </w:lvl>
    <w:lvl w:ilvl="4" w:tplc="7742851E" w:tentative="1">
      <w:start w:val="1"/>
      <w:numFmt w:val="bullet"/>
      <w:lvlText w:val="o"/>
      <w:lvlJc w:val="left"/>
      <w:pPr>
        <w:ind w:left="3600" w:hanging="360"/>
      </w:pPr>
      <w:rPr>
        <w:rFonts w:ascii="Courier New" w:hAnsi="Courier New" w:cs="Courier New" w:hint="default"/>
      </w:rPr>
    </w:lvl>
    <w:lvl w:ilvl="5" w:tplc="3762FC10" w:tentative="1">
      <w:start w:val="1"/>
      <w:numFmt w:val="bullet"/>
      <w:lvlText w:val=""/>
      <w:lvlJc w:val="left"/>
      <w:pPr>
        <w:ind w:left="4320" w:hanging="360"/>
      </w:pPr>
      <w:rPr>
        <w:rFonts w:ascii="Wingdings" w:hAnsi="Wingdings" w:hint="default"/>
      </w:rPr>
    </w:lvl>
    <w:lvl w:ilvl="6" w:tplc="A31CF7F0" w:tentative="1">
      <w:start w:val="1"/>
      <w:numFmt w:val="bullet"/>
      <w:lvlText w:val=""/>
      <w:lvlJc w:val="left"/>
      <w:pPr>
        <w:ind w:left="5040" w:hanging="360"/>
      </w:pPr>
      <w:rPr>
        <w:rFonts w:ascii="Symbol" w:hAnsi="Symbol" w:hint="default"/>
      </w:rPr>
    </w:lvl>
    <w:lvl w:ilvl="7" w:tplc="70501B54" w:tentative="1">
      <w:start w:val="1"/>
      <w:numFmt w:val="bullet"/>
      <w:lvlText w:val="o"/>
      <w:lvlJc w:val="left"/>
      <w:pPr>
        <w:ind w:left="5760" w:hanging="360"/>
      </w:pPr>
      <w:rPr>
        <w:rFonts w:ascii="Courier New" w:hAnsi="Courier New" w:cs="Courier New" w:hint="default"/>
      </w:rPr>
    </w:lvl>
    <w:lvl w:ilvl="8" w:tplc="A8B24216" w:tentative="1">
      <w:start w:val="1"/>
      <w:numFmt w:val="bullet"/>
      <w:lvlText w:val=""/>
      <w:lvlJc w:val="left"/>
      <w:pPr>
        <w:ind w:left="6480" w:hanging="360"/>
      </w:pPr>
      <w:rPr>
        <w:rFonts w:ascii="Wingdings" w:hAnsi="Wingdings" w:hint="default"/>
      </w:rPr>
    </w:lvl>
  </w:abstractNum>
  <w:abstractNum w:abstractNumId="12" w15:restartNumberingAfterBreak="0">
    <w:nsid w:val="70B21F8D"/>
    <w:multiLevelType w:val="multilevel"/>
    <w:tmpl w:val="E7FC5986"/>
    <w:lvl w:ilvl="0">
      <w:start w:val="1"/>
      <w:numFmt w:val="decimal"/>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720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7353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3747F9"/>
    <w:multiLevelType w:val="hybridMultilevel"/>
    <w:tmpl w:val="4404BD80"/>
    <w:lvl w:ilvl="0" w:tplc="E1F06B14">
      <w:numFmt w:val="bullet"/>
      <w:lvlText w:val="-"/>
      <w:lvlJc w:val="left"/>
      <w:pPr>
        <w:ind w:left="720" w:hanging="360"/>
      </w:pPr>
      <w:rPr>
        <w:rFonts w:ascii="Arial" w:eastAsia="Times New Roman" w:hAnsi="Arial" w:cs="Arial" w:hint="default"/>
      </w:rPr>
    </w:lvl>
    <w:lvl w:ilvl="1" w:tplc="66E49CDA" w:tentative="1">
      <w:start w:val="1"/>
      <w:numFmt w:val="bullet"/>
      <w:lvlText w:val="o"/>
      <w:lvlJc w:val="left"/>
      <w:pPr>
        <w:ind w:left="1440" w:hanging="360"/>
      </w:pPr>
      <w:rPr>
        <w:rFonts w:ascii="Courier New" w:hAnsi="Courier New" w:cs="Courier New" w:hint="default"/>
      </w:rPr>
    </w:lvl>
    <w:lvl w:ilvl="2" w:tplc="D1AA008A" w:tentative="1">
      <w:start w:val="1"/>
      <w:numFmt w:val="bullet"/>
      <w:lvlText w:val=""/>
      <w:lvlJc w:val="left"/>
      <w:pPr>
        <w:ind w:left="2160" w:hanging="360"/>
      </w:pPr>
      <w:rPr>
        <w:rFonts w:ascii="Wingdings" w:hAnsi="Wingdings" w:hint="default"/>
      </w:rPr>
    </w:lvl>
    <w:lvl w:ilvl="3" w:tplc="2C0050BA" w:tentative="1">
      <w:start w:val="1"/>
      <w:numFmt w:val="bullet"/>
      <w:lvlText w:val=""/>
      <w:lvlJc w:val="left"/>
      <w:pPr>
        <w:ind w:left="2880" w:hanging="360"/>
      </w:pPr>
      <w:rPr>
        <w:rFonts w:ascii="Symbol" w:hAnsi="Symbol" w:hint="default"/>
      </w:rPr>
    </w:lvl>
    <w:lvl w:ilvl="4" w:tplc="46BADBCA" w:tentative="1">
      <w:start w:val="1"/>
      <w:numFmt w:val="bullet"/>
      <w:lvlText w:val="o"/>
      <w:lvlJc w:val="left"/>
      <w:pPr>
        <w:ind w:left="3600" w:hanging="360"/>
      </w:pPr>
      <w:rPr>
        <w:rFonts w:ascii="Courier New" w:hAnsi="Courier New" w:cs="Courier New" w:hint="default"/>
      </w:rPr>
    </w:lvl>
    <w:lvl w:ilvl="5" w:tplc="7BB0A9EC" w:tentative="1">
      <w:start w:val="1"/>
      <w:numFmt w:val="bullet"/>
      <w:lvlText w:val=""/>
      <w:lvlJc w:val="left"/>
      <w:pPr>
        <w:ind w:left="4320" w:hanging="360"/>
      </w:pPr>
      <w:rPr>
        <w:rFonts w:ascii="Wingdings" w:hAnsi="Wingdings" w:hint="default"/>
      </w:rPr>
    </w:lvl>
    <w:lvl w:ilvl="6" w:tplc="491AC92E" w:tentative="1">
      <w:start w:val="1"/>
      <w:numFmt w:val="bullet"/>
      <w:lvlText w:val=""/>
      <w:lvlJc w:val="left"/>
      <w:pPr>
        <w:ind w:left="5040" w:hanging="360"/>
      </w:pPr>
      <w:rPr>
        <w:rFonts w:ascii="Symbol" w:hAnsi="Symbol" w:hint="default"/>
      </w:rPr>
    </w:lvl>
    <w:lvl w:ilvl="7" w:tplc="68867876" w:tentative="1">
      <w:start w:val="1"/>
      <w:numFmt w:val="bullet"/>
      <w:lvlText w:val="o"/>
      <w:lvlJc w:val="left"/>
      <w:pPr>
        <w:ind w:left="5760" w:hanging="360"/>
      </w:pPr>
      <w:rPr>
        <w:rFonts w:ascii="Courier New" w:hAnsi="Courier New" w:cs="Courier New" w:hint="default"/>
      </w:rPr>
    </w:lvl>
    <w:lvl w:ilvl="8" w:tplc="E5743734"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3"/>
  </w:num>
  <w:num w:numId="5">
    <w:abstractNumId w:val="13"/>
  </w:num>
  <w:num w:numId="6">
    <w:abstractNumId w:val="12"/>
  </w:num>
  <w:num w:numId="7">
    <w:abstractNumId w:val="5"/>
  </w:num>
  <w:num w:numId="8">
    <w:abstractNumId w:val="10"/>
  </w:num>
  <w:num w:numId="9">
    <w:abstractNumId w:val="8"/>
  </w:num>
  <w:num w:numId="10">
    <w:abstractNumId w:val="6"/>
    <w:lvlOverride w:ilvl="1">
      <w:lvl w:ilvl="1">
        <w:start w:val="1"/>
        <w:numFmt w:val="decimal"/>
        <w:pStyle w:val="Ruthsstandardparagraph"/>
        <w:lvlText w:val="%1.%2."/>
        <w:lvlJc w:val="left"/>
        <w:pPr>
          <w:ind w:left="3977" w:hanging="432"/>
        </w:pPr>
        <w:rPr>
          <w:rFonts w:hint="default"/>
        </w:rPr>
      </w:lvl>
    </w:lvlOverride>
  </w:num>
  <w:num w:numId="11">
    <w:abstractNumId w:val="0"/>
  </w:num>
  <w:num w:numId="12">
    <w:abstractNumId w:val="14"/>
  </w:num>
  <w:num w:numId="13">
    <w:abstractNumId w:val="4"/>
  </w:num>
  <w:num w:numId="14">
    <w:abstractNumId w:val="9"/>
  </w:num>
  <w:num w:numId="15">
    <w:abstractNumId w:val="4"/>
  </w:num>
  <w:num w:numId="16">
    <w:abstractNumId w:val="4"/>
  </w:num>
  <w:num w:numId="17">
    <w:abstractNumId w:val="2"/>
  </w:num>
  <w:num w:numId="18">
    <w:abstractNumId w:val="4"/>
  </w:num>
  <w:num w:numId="19">
    <w:abstractNumId w:val="4"/>
  </w:num>
  <w:num w:numId="20">
    <w:abstractNumId w:val="4"/>
  </w:num>
  <w:num w:numId="21">
    <w:abstractNumId w:val="4"/>
  </w:num>
  <w:num w:numId="22">
    <w:abstractNumId w:val="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97"/>
    <w:rsid w:val="00185E5E"/>
    <w:rsid w:val="003F4950"/>
    <w:rsid w:val="004739C1"/>
    <w:rsid w:val="009D7897"/>
    <w:rsid w:val="00B953D0"/>
    <w:rsid w:val="00C3297A"/>
    <w:rsid w:val="00CF1470"/>
    <w:rsid w:val="00F9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2201F-4637-4B2F-8734-895625A1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7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9"/>
    <w:qFormat/>
    <w:rsid w:val="002018FA"/>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7CF"/>
    <w:pPr>
      <w:ind w:left="720"/>
      <w:contextualSpacing/>
    </w:pPr>
  </w:style>
  <w:style w:type="paragraph" w:customStyle="1" w:styleId="Ruthsparagraph">
    <w:name w:val="Ruth's paragraph"/>
    <w:basedOn w:val="ListParagraph"/>
    <w:link w:val="RuthsparagraphChar1"/>
    <w:uiPriority w:val="99"/>
    <w:rsid w:val="00AE1C4F"/>
    <w:pPr>
      <w:spacing w:before="120" w:after="120" w:line="240" w:lineRule="auto"/>
      <w:ind w:hanging="720"/>
      <w:contextualSpacing w:val="0"/>
    </w:pPr>
    <w:rPr>
      <w:rFonts w:ascii="Arial" w:eastAsia="Times New Roman" w:hAnsi="Arial" w:cs="Times New Roman"/>
      <w:sz w:val="24"/>
      <w:szCs w:val="24"/>
      <w:lang w:eastAsia="en-GB"/>
    </w:rPr>
  </w:style>
  <w:style w:type="character" w:customStyle="1" w:styleId="RuthsparagraphChar1">
    <w:name w:val="Ruth's paragraph Char1"/>
    <w:basedOn w:val="DefaultParagraphFont"/>
    <w:link w:val="Ruthsparagraph"/>
    <w:uiPriority w:val="99"/>
    <w:locked/>
    <w:rsid w:val="00AE1C4F"/>
    <w:rPr>
      <w:rFonts w:ascii="Arial" w:eastAsia="Times New Roman" w:hAnsi="Arial" w:cs="Times New Roman"/>
      <w:sz w:val="24"/>
      <w:szCs w:val="24"/>
      <w:lang w:eastAsia="en-GB"/>
    </w:rPr>
  </w:style>
  <w:style w:type="table" w:styleId="TableGrid">
    <w:name w:val="Table Grid"/>
    <w:basedOn w:val="TableNormal"/>
    <w:uiPriority w:val="39"/>
    <w:rsid w:val="009B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C67"/>
  </w:style>
  <w:style w:type="paragraph" w:styleId="BalloonText">
    <w:name w:val="Balloon Text"/>
    <w:basedOn w:val="Normal"/>
    <w:link w:val="BalloonTextChar"/>
    <w:uiPriority w:val="99"/>
    <w:semiHidden/>
    <w:unhideWhenUsed/>
    <w:rsid w:val="0084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46"/>
    <w:rPr>
      <w:rFonts w:ascii="Segoe UI" w:hAnsi="Segoe UI" w:cs="Segoe UI"/>
      <w:sz w:val="18"/>
      <w:szCs w:val="18"/>
    </w:rPr>
  </w:style>
  <w:style w:type="paragraph" w:styleId="Header">
    <w:name w:val="header"/>
    <w:basedOn w:val="Normal"/>
    <w:link w:val="HeaderChar"/>
    <w:uiPriority w:val="99"/>
    <w:unhideWhenUsed/>
    <w:rsid w:val="00A4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E3E"/>
  </w:style>
  <w:style w:type="paragraph" w:styleId="Footer">
    <w:name w:val="footer"/>
    <w:basedOn w:val="Normal"/>
    <w:link w:val="FooterChar"/>
    <w:uiPriority w:val="99"/>
    <w:unhideWhenUsed/>
    <w:rsid w:val="00A4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3E"/>
  </w:style>
  <w:style w:type="paragraph" w:customStyle="1" w:styleId="Ruthsnumberedheading">
    <w:name w:val="Ruth's numbered heading"/>
    <w:basedOn w:val="Normal"/>
    <w:uiPriority w:val="99"/>
    <w:rsid w:val="00A25207"/>
    <w:pPr>
      <w:spacing w:before="120" w:after="120" w:line="240" w:lineRule="auto"/>
      <w:ind w:left="720" w:hanging="720"/>
    </w:pPr>
    <w:rPr>
      <w:rFonts w:ascii="Arial" w:eastAsia="Times New Roman" w:hAnsi="Arial" w:cs="Arial"/>
      <w:b/>
      <w:sz w:val="28"/>
      <w:szCs w:val="28"/>
      <w:lang w:eastAsia="en-GB"/>
    </w:rPr>
  </w:style>
  <w:style w:type="paragraph" w:customStyle="1" w:styleId="Pa0">
    <w:name w:val="Pa0"/>
    <w:basedOn w:val="Normal"/>
    <w:next w:val="Normal"/>
    <w:uiPriority w:val="99"/>
    <w:rsid w:val="00756B90"/>
    <w:pPr>
      <w:autoSpaceDE w:val="0"/>
      <w:autoSpaceDN w:val="0"/>
      <w:adjustRightInd w:val="0"/>
      <w:spacing w:after="0" w:line="191" w:lineRule="atLeast"/>
    </w:pPr>
    <w:rPr>
      <w:rFonts w:ascii="Verdana" w:hAnsi="Verdana"/>
      <w:sz w:val="24"/>
      <w:szCs w:val="24"/>
    </w:rPr>
  </w:style>
  <w:style w:type="paragraph" w:customStyle="1" w:styleId="Default">
    <w:name w:val="Default"/>
    <w:rsid w:val="00756B90"/>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756B90"/>
    <w:rPr>
      <w:rFonts w:cs="Verdana"/>
      <w:color w:val="000000"/>
      <w:sz w:val="70"/>
      <w:szCs w:val="70"/>
    </w:rPr>
  </w:style>
  <w:style w:type="paragraph" w:customStyle="1" w:styleId="Pa4">
    <w:name w:val="Pa4"/>
    <w:basedOn w:val="Default"/>
    <w:next w:val="Default"/>
    <w:uiPriority w:val="99"/>
    <w:rsid w:val="00A00CE4"/>
    <w:pPr>
      <w:spacing w:line="191" w:lineRule="atLeast"/>
    </w:pPr>
    <w:rPr>
      <w:rFonts w:cstheme="minorBidi"/>
      <w:color w:val="auto"/>
    </w:rPr>
  </w:style>
  <w:style w:type="character" w:customStyle="1" w:styleId="A4">
    <w:name w:val="A4"/>
    <w:uiPriority w:val="99"/>
    <w:rsid w:val="00A00CE4"/>
    <w:rPr>
      <w:rFonts w:cs="Verdana"/>
      <w:color w:val="000000"/>
      <w:sz w:val="60"/>
      <w:szCs w:val="60"/>
    </w:rPr>
  </w:style>
  <w:style w:type="character" w:customStyle="1" w:styleId="A2">
    <w:name w:val="A2"/>
    <w:uiPriority w:val="99"/>
    <w:rsid w:val="00A00CE4"/>
    <w:rPr>
      <w:rFonts w:cs="Verdana"/>
      <w:color w:val="000000"/>
      <w:sz w:val="16"/>
      <w:szCs w:val="16"/>
    </w:rPr>
  </w:style>
  <w:style w:type="character" w:styleId="CommentReference">
    <w:name w:val="annotation reference"/>
    <w:basedOn w:val="DefaultParagraphFont"/>
    <w:uiPriority w:val="99"/>
    <w:semiHidden/>
    <w:unhideWhenUsed/>
    <w:rsid w:val="00D6554B"/>
    <w:rPr>
      <w:sz w:val="16"/>
      <w:szCs w:val="16"/>
    </w:rPr>
  </w:style>
  <w:style w:type="paragraph" w:styleId="CommentText">
    <w:name w:val="annotation text"/>
    <w:basedOn w:val="Normal"/>
    <w:link w:val="CommentTextChar"/>
    <w:uiPriority w:val="99"/>
    <w:semiHidden/>
    <w:unhideWhenUsed/>
    <w:rsid w:val="00D6554B"/>
    <w:pPr>
      <w:spacing w:line="240" w:lineRule="auto"/>
    </w:pPr>
    <w:rPr>
      <w:sz w:val="20"/>
      <w:szCs w:val="20"/>
    </w:rPr>
  </w:style>
  <w:style w:type="character" w:customStyle="1" w:styleId="CommentTextChar">
    <w:name w:val="Comment Text Char"/>
    <w:basedOn w:val="DefaultParagraphFont"/>
    <w:link w:val="CommentText"/>
    <w:uiPriority w:val="99"/>
    <w:semiHidden/>
    <w:rsid w:val="00D6554B"/>
    <w:rPr>
      <w:sz w:val="20"/>
      <w:szCs w:val="20"/>
    </w:rPr>
  </w:style>
  <w:style w:type="paragraph" w:styleId="CommentSubject">
    <w:name w:val="annotation subject"/>
    <w:basedOn w:val="CommentText"/>
    <w:next w:val="CommentText"/>
    <w:link w:val="CommentSubjectChar"/>
    <w:uiPriority w:val="99"/>
    <w:semiHidden/>
    <w:unhideWhenUsed/>
    <w:rsid w:val="00D6554B"/>
    <w:rPr>
      <w:b/>
      <w:bCs/>
    </w:rPr>
  </w:style>
  <w:style w:type="character" w:customStyle="1" w:styleId="CommentSubjectChar">
    <w:name w:val="Comment Subject Char"/>
    <w:basedOn w:val="CommentTextChar"/>
    <w:link w:val="CommentSubject"/>
    <w:uiPriority w:val="99"/>
    <w:semiHidden/>
    <w:rsid w:val="00D6554B"/>
    <w:rPr>
      <w:b/>
      <w:bCs/>
      <w:sz w:val="20"/>
      <w:szCs w:val="20"/>
    </w:rPr>
  </w:style>
  <w:style w:type="numbering" w:customStyle="1" w:styleId="Ruthstandard">
    <w:name w:val="Ruth standard"/>
    <w:uiPriority w:val="99"/>
    <w:rsid w:val="00377FBD"/>
    <w:pPr>
      <w:numPr>
        <w:numId w:val="11"/>
      </w:numPr>
    </w:pPr>
  </w:style>
  <w:style w:type="paragraph" w:customStyle="1" w:styleId="Ruthstitle">
    <w:name w:val="Ruth's title"/>
    <w:basedOn w:val="Normal"/>
    <w:link w:val="RuthstitleChar"/>
    <w:rsid w:val="0067460E"/>
    <w:pPr>
      <w:spacing w:before="120" w:after="240" w:line="240" w:lineRule="auto"/>
    </w:pPr>
    <w:rPr>
      <w:rFonts w:ascii="Arial" w:hAnsi="Arial" w:cs="Arial"/>
      <w:b/>
      <w:sz w:val="32"/>
      <w:szCs w:val="32"/>
    </w:rPr>
  </w:style>
  <w:style w:type="paragraph" w:customStyle="1" w:styleId="Ruthsheader">
    <w:name w:val="Ruth's header"/>
    <w:basedOn w:val="Ruthstitle"/>
    <w:link w:val="RuthsheaderChar"/>
    <w:qFormat/>
    <w:rsid w:val="003C272A"/>
    <w:pPr>
      <w:numPr>
        <w:numId w:val="13"/>
      </w:numPr>
      <w:spacing w:after="120"/>
    </w:pPr>
    <w:rPr>
      <w:sz w:val="26"/>
      <w:szCs w:val="26"/>
    </w:rPr>
  </w:style>
  <w:style w:type="character" w:customStyle="1" w:styleId="RuthstitleChar">
    <w:name w:val="Ruth's title Char"/>
    <w:basedOn w:val="DefaultParagraphFont"/>
    <w:link w:val="Ruthstitle"/>
    <w:rsid w:val="0067460E"/>
    <w:rPr>
      <w:rFonts w:ascii="Arial" w:hAnsi="Arial" w:cs="Arial"/>
      <w:b/>
      <w:sz w:val="32"/>
      <w:szCs w:val="32"/>
    </w:rPr>
  </w:style>
  <w:style w:type="paragraph" w:customStyle="1" w:styleId="Ruthsstandardparagraph">
    <w:name w:val="Ruth's standard paragraph"/>
    <w:basedOn w:val="ListParagraph"/>
    <w:link w:val="RuthsstandardparagraphChar"/>
    <w:qFormat/>
    <w:rsid w:val="006C4E36"/>
    <w:pPr>
      <w:numPr>
        <w:ilvl w:val="1"/>
        <w:numId w:val="10"/>
      </w:numPr>
      <w:spacing w:before="120" w:after="120" w:line="240" w:lineRule="auto"/>
      <w:ind w:left="851" w:hanging="851"/>
      <w:contextualSpacing w:val="0"/>
    </w:pPr>
    <w:rPr>
      <w:rFonts w:ascii="Arial" w:hAnsi="Arial" w:cs="Arial"/>
      <w:sz w:val="24"/>
      <w:szCs w:val="24"/>
    </w:rPr>
  </w:style>
  <w:style w:type="character" w:customStyle="1" w:styleId="RuthsheaderChar">
    <w:name w:val="Ruth's header Char"/>
    <w:basedOn w:val="RuthstitleChar"/>
    <w:link w:val="Ruthsheader"/>
    <w:rsid w:val="003C272A"/>
    <w:rPr>
      <w:rFonts w:ascii="Arial" w:hAnsi="Arial" w:cs="Arial"/>
      <w:b/>
      <w:sz w:val="26"/>
      <w:szCs w:val="26"/>
    </w:rPr>
  </w:style>
  <w:style w:type="paragraph" w:customStyle="1" w:styleId="Ruthsbullets">
    <w:name w:val="Ruth's bullets"/>
    <w:basedOn w:val="Normal"/>
    <w:link w:val="RuthsbulletsChar"/>
    <w:qFormat/>
    <w:rsid w:val="006C4E36"/>
    <w:pPr>
      <w:numPr>
        <w:numId w:val="1"/>
      </w:numPr>
      <w:spacing w:before="120" w:after="120" w:line="240" w:lineRule="auto"/>
      <w:ind w:left="1560" w:hanging="567"/>
    </w:pPr>
    <w:rPr>
      <w:rFonts w:ascii="Arial" w:hAnsi="Arial" w:cs="Arial"/>
      <w:sz w:val="24"/>
      <w:szCs w:val="24"/>
    </w:rPr>
  </w:style>
  <w:style w:type="character" w:customStyle="1" w:styleId="RuthsstandardparagraphChar">
    <w:name w:val="Ruth's standard paragraph Char"/>
    <w:basedOn w:val="ListParagraphChar"/>
    <w:link w:val="Ruthsstandardparagraph"/>
    <w:rsid w:val="006C4E36"/>
    <w:rPr>
      <w:rFonts w:ascii="Arial" w:hAnsi="Arial" w:cs="Arial"/>
      <w:sz w:val="24"/>
      <w:szCs w:val="24"/>
    </w:rPr>
  </w:style>
  <w:style w:type="character" w:customStyle="1" w:styleId="RuthsbulletsChar">
    <w:name w:val="Ruth's bullets Char"/>
    <w:basedOn w:val="DefaultParagraphFont"/>
    <w:link w:val="Ruthsbullets"/>
    <w:rsid w:val="006C4E36"/>
    <w:rPr>
      <w:rFonts w:ascii="Arial" w:hAnsi="Arial" w:cs="Arial"/>
      <w:sz w:val="24"/>
      <w:szCs w:val="24"/>
    </w:rPr>
  </w:style>
  <w:style w:type="paragraph" w:customStyle="1" w:styleId="Ruthsnumberedparagraph">
    <w:name w:val="Ruth's numbered paragraph"/>
    <w:basedOn w:val="Ruthsheader"/>
    <w:link w:val="RuthsnumberedparagraphChar"/>
    <w:qFormat/>
    <w:rsid w:val="00CA2C58"/>
    <w:pPr>
      <w:numPr>
        <w:ilvl w:val="1"/>
      </w:numPr>
      <w:ind w:left="851" w:hanging="851"/>
    </w:pPr>
    <w:rPr>
      <w:b w:val="0"/>
      <w:sz w:val="24"/>
      <w:szCs w:val="24"/>
    </w:rPr>
  </w:style>
  <w:style w:type="paragraph" w:styleId="NormalWeb">
    <w:name w:val="Normal (Web)"/>
    <w:basedOn w:val="Normal"/>
    <w:uiPriority w:val="99"/>
    <w:semiHidden/>
    <w:unhideWhenUsed/>
    <w:rsid w:val="00040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uthsnumberedparagraphChar">
    <w:name w:val="Ruth's numbered paragraph Char"/>
    <w:basedOn w:val="RuthsheaderChar"/>
    <w:link w:val="Ruthsnumberedparagraph"/>
    <w:rsid w:val="00CA2C58"/>
    <w:rPr>
      <w:rFonts w:ascii="Arial" w:hAnsi="Arial" w:cs="Arial"/>
      <w:b w:val="0"/>
      <w:sz w:val="24"/>
      <w:szCs w:val="24"/>
    </w:rPr>
  </w:style>
  <w:style w:type="character" w:customStyle="1" w:styleId="Heading5Char">
    <w:name w:val="Heading 5 Char"/>
    <w:basedOn w:val="DefaultParagraphFont"/>
    <w:link w:val="Heading5"/>
    <w:uiPriority w:val="99"/>
    <w:rsid w:val="002018FA"/>
    <w:rPr>
      <w:rFonts w:ascii="Univers" w:eastAsia="Times New Roman" w:hAnsi="Univers" w:cs="Times New Roman"/>
      <w:b/>
      <w:sz w:val="24"/>
      <w:szCs w:val="20"/>
      <w:u w:val="single"/>
      <w:lang w:eastAsia="en-GB"/>
    </w:rPr>
  </w:style>
  <w:style w:type="character" w:customStyle="1" w:styleId="Heading2Char">
    <w:name w:val="Heading 2 Char"/>
    <w:basedOn w:val="DefaultParagraphFont"/>
    <w:link w:val="Heading2"/>
    <w:uiPriority w:val="9"/>
    <w:semiHidden/>
    <w:rsid w:val="007A73A9"/>
    <w:rPr>
      <w:rFonts w:asciiTheme="majorHAnsi" w:eastAsiaTheme="majorEastAsia" w:hAnsiTheme="majorHAnsi" w:cstheme="majorBidi"/>
      <w:color w:val="2E74B5" w:themeColor="accent1" w:themeShade="BF"/>
      <w:sz w:val="26"/>
      <w:szCs w:val="26"/>
    </w:rPr>
  </w:style>
  <w:style w:type="paragraph" w:customStyle="1" w:styleId="Ruthssub-heading">
    <w:name w:val="Ruth's sub-heading"/>
    <w:basedOn w:val="Ruthsnumberedparagraph"/>
    <w:link w:val="Ruthssub-headingChar"/>
    <w:qFormat/>
    <w:rsid w:val="003B2524"/>
    <w:pPr>
      <w:numPr>
        <w:ilvl w:val="0"/>
        <w:numId w:val="0"/>
      </w:numPr>
      <w:ind w:left="851"/>
    </w:pPr>
    <w:rPr>
      <w:b/>
    </w:rPr>
  </w:style>
  <w:style w:type="character" w:customStyle="1" w:styleId="Ruthssub-headingChar">
    <w:name w:val="Ruth's sub-heading Char"/>
    <w:basedOn w:val="RuthsnumberedparagraphChar"/>
    <w:link w:val="Ruthssub-heading"/>
    <w:rsid w:val="003B2524"/>
    <w:rPr>
      <w:rFonts w:ascii="Arial" w:hAnsi="Arial" w:cs="Arial"/>
      <w:b/>
      <w:sz w:val="24"/>
      <w:szCs w:val="24"/>
    </w:rPr>
  </w:style>
  <w:style w:type="paragraph" w:customStyle="1" w:styleId="Ruthsquotes">
    <w:name w:val="Ruth's quotes"/>
    <w:basedOn w:val="Ruthsnumberedparagraph"/>
    <w:link w:val="RuthsquotesChar"/>
    <w:qFormat/>
    <w:rsid w:val="000D391D"/>
    <w:pPr>
      <w:numPr>
        <w:ilvl w:val="0"/>
        <w:numId w:val="0"/>
      </w:numPr>
      <w:ind w:left="851"/>
    </w:pPr>
  </w:style>
  <w:style w:type="character" w:customStyle="1" w:styleId="RuthsquotesChar">
    <w:name w:val="Ruth's quotes Char"/>
    <w:basedOn w:val="RuthsnumberedparagraphChar"/>
    <w:link w:val="Ruthsquotes"/>
    <w:rsid w:val="000D391D"/>
    <w:rPr>
      <w:rFonts w:ascii="Arial" w:hAnsi="Arial" w:cs="Arial"/>
      <w:b w:val="0"/>
      <w:sz w:val="24"/>
      <w:szCs w:val="24"/>
    </w:rPr>
  </w:style>
  <w:style w:type="paragraph" w:styleId="Revision">
    <w:name w:val="Revision"/>
    <w:hidden/>
    <w:uiPriority w:val="99"/>
    <w:semiHidden/>
    <w:rsid w:val="00D53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9EAB-977E-4208-8C26-3C5414D2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Lowry, Ruth</cp:lastModifiedBy>
  <cp:revision>21</cp:revision>
  <cp:lastPrinted>2017-05-22T09:50:00Z</cp:lastPrinted>
  <dcterms:created xsi:type="dcterms:W3CDTF">2019-04-15T13:05:00Z</dcterms:created>
  <dcterms:modified xsi:type="dcterms:W3CDTF">2019-05-03T09:50:00Z</dcterms:modified>
</cp:coreProperties>
</file>